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header2.xml" ContentType="application/vnd.openxmlformats-officedocument.wordprocessingml.header+xml"/>
  <Override PartName="/word/header1.xml" ContentType="application/vnd.openxmlformats-officedocument.wordprocessingml.header+xml"/>
  <Override PartName="/word/styles.xml" ContentType="application/vnd.openxmlformats-officedocument.wordprocessingml.styles+xml"/>
  <Override PartName="/word/theme/theme1.xml" ContentType="application/vnd.openxmlformats-officedocument.theme+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3.xml" ContentType="application/vnd.openxmlformats-officedocument.wordprocessingml.header+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1"/>
        <w:numPr>
          <w:ilvl w:val="0"/>
          <w:numId w:val="1"/>
        </w:numPr>
        <w:rPr/>
      </w:pPr>
      <w:r>
        <w:rPr/>
      </w:r>
    </w:p>
    <w:p>
      <w:pPr>
        <w:pStyle w:val="1"/>
        <w:numPr>
          <w:ilvl w:val="0"/>
          <w:numId w:val="1"/>
        </w:numPr>
        <w:jc w:val="center"/>
        <w:rPr/>
      </w:pPr>
      <w:r>
        <w:rPr>
          <w:b w:val="false"/>
          <w:szCs w:val="24"/>
        </w:rPr>
        <w:t xml:space="preserve"> </w:t>
      </w:r>
      <w:r>
        <w:rPr>
          <w:b w:val="false"/>
          <w:szCs w:val="24"/>
        </w:rPr>
        <w:t>ДОГОВОР № _______</w:t>
      </w:r>
    </w:p>
    <w:p>
      <w:pPr>
        <w:pStyle w:val="Normal"/>
        <w:shd w:val="clear" w:color="auto" w:fill="FFFFFF"/>
        <w:jc w:val="center"/>
        <w:rPr/>
      </w:pPr>
      <w:r>
        <w:rPr>
          <w:color w:val="000000"/>
          <w:spacing w:val="-3"/>
          <w:sz w:val="24"/>
          <w:szCs w:val="24"/>
        </w:rPr>
        <w:t>на оказание услуг по централизованной охране</w:t>
      </w:r>
    </w:p>
    <w:p>
      <w:pPr>
        <w:pStyle w:val="Normal"/>
        <w:rPr>
          <w:color w:val="000000"/>
          <w:spacing w:val="-3"/>
          <w:sz w:val="24"/>
          <w:szCs w:val="24"/>
        </w:rPr>
      </w:pPr>
      <w:r>
        <w:rPr>
          <w:color w:val="000000"/>
          <w:spacing w:val="-3"/>
          <w:sz w:val="24"/>
          <w:szCs w:val="24"/>
        </w:rPr>
      </w:r>
    </w:p>
    <w:p>
      <w:pPr>
        <w:pStyle w:val="Normal"/>
        <w:rPr/>
      </w:pPr>
      <w:r>
        <w:rPr>
          <w:bCs/>
          <w:sz w:val="24"/>
          <w:szCs w:val="24"/>
        </w:rPr>
        <w:t xml:space="preserve">__________________                                                                   «____»______________ 202___ г. </w:t>
      </w:r>
    </w:p>
    <w:p>
      <w:pPr>
        <w:pStyle w:val="Normal"/>
        <w:jc w:val="both"/>
        <w:rPr>
          <w:bCs/>
          <w:sz w:val="24"/>
          <w:szCs w:val="24"/>
        </w:rPr>
      </w:pPr>
      <w:r>
        <w:rPr>
          <w:bCs/>
          <w:sz w:val="24"/>
          <w:szCs w:val="24"/>
        </w:rPr>
      </w:r>
    </w:p>
    <w:p>
      <w:pPr>
        <w:pStyle w:val="Normal"/>
        <w:ind w:left="0" w:right="0" w:firstLine="708"/>
        <w:jc w:val="both"/>
        <w:rPr/>
      </w:pPr>
      <w:r>
        <w:rPr>
          <w:sz w:val="24"/>
          <w:szCs w:val="24"/>
        </w:rPr>
        <w:t>_________________________________________________________________________, именуемое в  дальнейшем  ЗАКАЗЧИК, в лице ____________________________, действующего на основании ____________________, с одной стороны, и федеральное государственное казенное учреждение «Отдел вневедомственной охраны войск национальной гвардии Российской Федерации по Республике Мордовия», в лице   ___________________________________________________________, действующего на основании _______________________, именуемое в дальнейшем ИСПОЛНИТЕЛЬ, с другой стороны, а вместе именуемые «Стороны», настоящий договор о нижеследующем:</w:t>
      </w:r>
    </w:p>
    <w:p>
      <w:pPr>
        <w:pStyle w:val="Style23"/>
        <w:rPr>
          <w:sz w:val="24"/>
          <w:szCs w:val="24"/>
        </w:rPr>
      </w:pPr>
      <w:r>
        <w:rPr>
          <w:sz w:val="24"/>
          <w:szCs w:val="24"/>
        </w:rPr>
      </w:r>
    </w:p>
    <w:p>
      <w:pPr>
        <w:pStyle w:val="Style23"/>
        <w:rPr/>
      </w:pPr>
      <w:r>
        <w:rPr>
          <w:szCs w:val="24"/>
        </w:rPr>
        <w:t xml:space="preserve">                                                  </w:t>
      </w:r>
      <w:r>
        <w:rPr>
          <w:szCs w:val="24"/>
        </w:rPr>
        <w:t>1. ПРЕДМЕТ ДОГОВОРА.</w:t>
      </w:r>
    </w:p>
    <w:p>
      <w:pPr>
        <w:pStyle w:val="Normal"/>
        <w:ind w:left="0" w:right="0" w:firstLine="709"/>
        <w:jc w:val="both"/>
        <w:rPr/>
      </w:pPr>
      <w:r>
        <w:rPr>
          <w:sz w:val="24"/>
          <w:szCs w:val="24"/>
        </w:rPr>
        <w:t>1.1. ИСПОЛНИТЕЛЬ  принимает на себя обязательство оказывать услуги по охране имущества ЗАКАЗЧИКА</w:t>
      </w:r>
      <w:r>
        <w:rPr>
          <w:color w:val="000000"/>
          <w:spacing w:val="1"/>
          <w:sz w:val="24"/>
          <w:szCs w:val="24"/>
        </w:rPr>
        <w:t xml:space="preserve"> путем приема и реагирования группами задержания на тревожные сообщения, поступающие с объектов ЗАКАЗЧИКА (далее – «Объекты») по системе передачи извещений на пульт централизованной охраны (далее - ПЦО) </w:t>
      </w:r>
      <w:r>
        <w:rPr>
          <w:color w:val="000000"/>
          <w:spacing w:val="-1"/>
          <w:sz w:val="24"/>
          <w:szCs w:val="24"/>
        </w:rPr>
        <w:t>ИСПОЛНИТЕЛЯ</w:t>
      </w:r>
      <w:r>
        <w:rPr>
          <w:color w:val="000000"/>
          <w:spacing w:val="1"/>
          <w:sz w:val="24"/>
          <w:szCs w:val="24"/>
        </w:rPr>
        <w:t>,</w:t>
      </w:r>
      <w:r>
        <w:rPr>
          <w:sz w:val="24"/>
          <w:szCs w:val="24"/>
        </w:rPr>
        <w:t xml:space="preserve"> согласно Перечня охраняемых объектов, который прилагается к договору и является                  его неотъемлемой частью (Приложение </w:t>
      </w:r>
      <w:r>
        <w:rPr>
          <w:color w:val="000000"/>
          <w:spacing w:val="1"/>
          <w:sz w:val="24"/>
          <w:szCs w:val="24"/>
        </w:rPr>
        <w:t xml:space="preserve">№ 1 к </w:t>
      </w:r>
      <w:r>
        <w:rPr>
          <w:color w:val="000000"/>
          <w:spacing w:val="-5"/>
          <w:sz w:val="24"/>
          <w:szCs w:val="24"/>
        </w:rPr>
        <w:t>настоящему договору</w:t>
      </w:r>
      <w:r>
        <w:rPr>
          <w:sz w:val="24"/>
          <w:szCs w:val="24"/>
        </w:rPr>
        <w:t>)</w:t>
      </w:r>
      <w:r>
        <w:rPr>
          <w:color w:val="000000"/>
          <w:spacing w:val="1"/>
          <w:sz w:val="24"/>
          <w:szCs w:val="24"/>
        </w:rPr>
        <w:t>.</w:t>
      </w:r>
    </w:p>
    <w:p>
      <w:pPr>
        <w:pStyle w:val="Normal"/>
        <w:tabs>
          <w:tab w:val="clear" w:pos="708"/>
          <w:tab w:val="left" w:pos="567" w:leader="none"/>
          <w:tab w:val="left" w:pos="851" w:leader="none"/>
          <w:tab w:val="left" w:pos="1134" w:leader="none"/>
          <w:tab w:val="left" w:pos="1276" w:leader="none"/>
        </w:tabs>
        <w:ind w:left="0" w:right="0" w:firstLine="709"/>
        <w:jc w:val="both"/>
        <w:rPr/>
      </w:pPr>
      <w:r>
        <w:rPr>
          <w:sz w:val="24"/>
          <w:szCs w:val="24"/>
        </w:rPr>
        <w:t xml:space="preserve">1.2. ЗАКАЗЧИК принимает на себя обязательство своевременно  производить оплату за услуги ИСПОЛНИТЕЛЯ в соответствии с условиями настоящего договора. </w:t>
      </w:r>
    </w:p>
    <w:p>
      <w:pPr>
        <w:pStyle w:val="Normal"/>
        <w:tabs>
          <w:tab w:val="clear" w:pos="708"/>
          <w:tab w:val="left" w:pos="567" w:leader="none"/>
          <w:tab w:val="left" w:pos="709" w:leader="none"/>
          <w:tab w:val="left" w:pos="851" w:leader="none"/>
        </w:tabs>
        <w:jc w:val="both"/>
        <w:rPr>
          <w:sz w:val="24"/>
          <w:szCs w:val="24"/>
        </w:rPr>
      </w:pPr>
      <w:r>
        <w:rPr>
          <w:sz w:val="24"/>
          <w:szCs w:val="24"/>
        </w:rPr>
      </w:r>
    </w:p>
    <w:p>
      <w:pPr>
        <w:pStyle w:val="Normal"/>
        <w:tabs>
          <w:tab w:val="clear" w:pos="708"/>
          <w:tab w:val="left" w:pos="567" w:leader="none"/>
          <w:tab w:val="left" w:pos="709" w:leader="none"/>
          <w:tab w:val="left" w:pos="851" w:leader="none"/>
        </w:tabs>
        <w:jc w:val="center"/>
        <w:rPr/>
      </w:pPr>
      <w:r>
        <w:rPr>
          <w:sz w:val="24"/>
          <w:szCs w:val="24"/>
        </w:rPr>
        <w:t>2. ОБЩИЕ ПОЛОЖЕНИЯ.</w:t>
      </w:r>
    </w:p>
    <w:p>
      <w:pPr>
        <w:pStyle w:val="Style23"/>
        <w:rPr/>
      </w:pPr>
      <w:r>
        <w:rPr>
          <w:szCs w:val="24"/>
        </w:rPr>
        <w:t xml:space="preserve">2.1. Требования, основанные на Законе РФ «О войсках национальной гвардии Российской Федерации», нормативных актах по охранной деятельности,  направленные на усиление охраны и укреплённости объектов, внедрение средств технической охраны, соблюдение установленного режима охраны, являются обязательными для СТОРОН, а требования действующих инструкций, наставлений и других нормативных документов по соблюдению правил эксплуатации и содержания Комплекса ТСО, а также по устранению недостатков в технической укреплённости Объекта ЗАКАЗЧИКА, отрицательно влияющих на работоспособность Комплекса ТСО являются обязательными для ЗАКАЗЧИКА.  </w:t>
      </w:r>
    </w:p>
    <w:p>
      <w:pPr>
        <w:pStyle w:val="Style23"/>
        <w:rPr/>
      </w:pPr>
      <w:r>
        <w:rPr>
          <w:szCs w:val="24"/>
        </w:rPr>
        <w:t xml:space="preserve">2.2. Техническое состояние принимаемых под охрану объектов, необходимые технические средства охраны, потребность в этих средствах, а также сроки их внедрения указываются в двустороннем акте обследования.   </w:t>
      </w:r>
    </w:p>
    <w:p>
      <w:pPr>
        <w:pStyle w:val="Normal"/>
        <w:ind w:left="0" w:right="0" w:firstLine="709"/>
        <w:jc w:val="both"/>
        <w:rPr/>
      </w:pPr>
      <w:r>
        <w:rPr>
          <w:sz w:val="24"/>
          <w:szCs w:val="24"/>
        </w:rPr>
        <w:t>Обследование  технического состояния охраняемых объектов производится при необходимости, но не реже двух раз в год, представителями ИСПОЛНИТЕЛЯ и ЗАКАЗЧИКА с составлением актов обследования, которые приобщаются к договору и становятся неотъемлемой его частью, с указанием в них вновь выявленных недостатков по технической укрепленности,   работоспособности средств охранной сигнализации, а также необходимых мероприятий по их устранению и сроков выполнения этих мероприятий.</w:t>
      </w:r>
    </w:p>
    <w:p>
      <w:pPr>
        <w:pStyle w:val="Normal"/>
        <w:ind w:left="0" w:right="0" w:firstLine="709"/>
        <w:jc w:val="both"/>
        <w:rPr/>
      </w:pPr>
      <w:r>
        <w:rPr>
          <w:sz w:val="24"/>
          <w:szCs w:val="24"/>
        </w:rPr>
        <w:t xml:space="preserve">ЗАКАЗЧИК вправе устанавливать и изменять время охраны объектов, подлежащих централизованной пультовой охране по согласованию с ИСПОЛНИТЕЛЕМ с внесением изменений в перечень охраняемых объектов. </w:t>
      </w:r>
    </w:p>
    <w:p>
      <w:pPr>
        <w:sectPr>
          <w:headerReference w:type="default" r:id="rId2"/>
          <w:type w:val="nextPage"/>
          <w:pgSz w:w="11906" w:h="16838"/>
          <w:pgMar w:left="1701" w:right="567" w:header="720" w:top="1134" w:footer="0" w:bottom="1134" w:gutter="0"/>
          <w:pgNumType w:fmt="decimal"/>
          <w:formProt w:val="false"/>
          <w:textDirection w:val="lrTb"/>
          <w:docGrid w:type="default" w:linePitch="360" w:charSpace="0"/>
        </w:sectPr>
        <w:pStyle w:val="Normal"/>
        <w:ind w:left="0" w:right="0" w:firstLine="709"/>
        <w:jc w:val="both"/>
        <w:rPr/>
      </w:pPr>
      <w:r>
        <w:rPr>
          <w:sz w:val="24"/>
          <w:szCs w:val="24"/>
        </w:rPr>
        <w:t xml:space="preserve">2.3.  Охрана объектов осуществляется в дни и часы, указанные в прилагаемом к договору  перечне охраняемых объектов. </w:t>
      </w:r>
    </w:p>
    <w:p>
      <w:pPr>
        <w:pStyle w:val="Normal"/>
        <w:ind w:left="0" w:right="0" w:firstLine="709"/>
        <w:jc w:val="both"/>
        <w:rPr/>
      </w:pPr>
      <w:r>
        <w:rPr>
          <w:sz w:val="24"/>
          <w:szCs w:val="24"/>
        </w:rPr>
        <w:t xml:space="preserve"> </w:t>
      </w:r>
      <w:r>
        <w:rPr>
          <w:sz w:val="24"/>
          <w:szCs w:val="24"/>
        </w:rPr>
        <w:t>2.4. Техническая укреплённость и оборудование объектов средствами охранной сигнализации, а также последующий их ремонт и техническое обслуживание производится за счет ЗАКАЗЧИКА путем заключения отдельного договора с организацией, имеющей  лицензию на оказание данных услуг.</w:t>
      </w:r>
    </w:p>
    <w:p>
      <w:pPr>
        <w:pStyle w:val="Normal"/>
        <w:ind w:left="0" w:right="0" w:firstLine="709"/>
        <w:jc w:val="both"/>
        <w:rPr/>
      </w:pPr>
      <w:r>
        <w:rPr>
          <w:sz w:val="24"/>
          <w:szCs w:val="24"/>
        </w:rPr>
        <w:t xml:space="preserve">2.5. </w:t>
      </w:r>
      <w:r>
        <w:rPr>
          <w:bCs/>
          <w:sz w:val="24"/>
          <w:szCs w:val="24"/>
        </w:rPr>
        <w:t>СТОРОНЫ настоящего договора ежемесячно подводят итоги оказания (получения) услуг, предусмотренных настоящим договором. По результатам подведения итогов оказания (получения) услуг ЗАКАЗЧИКОМ и ИСПОЛНИТЕЛЕМ составляется двусторонний  акт  об оказании/получении услуг с указанием суммы, подлежащей перечислению ЗАКАЗЧИКОМ на лицевой (расчетный) счет ИСПОЛНИТЕЛЯ. Указанные акты являются неотъемлемой частью настоящего договора.</w:t>
      </w:r>
    </w:p>
    <w:p>
      <w:pPr>
        <w:pStyle w:val="Normal"/>
        <w:ind w:left="0" w:right="0" w:firstLine="709"/>
        <w:jc w:val="both"/>
        <w:rPr/>
      </w:pPr>
      <w:r>
        <w:rPr>
          <w:bCs/>
          <w:sz w:val="24"/>
          <w:szCs w:val="24"/>
        </w:rPr>
        <w:t>2.6. Если в течение 10 календарных дней со дня направления ЗАКАЗЧИКУ акта оказания/получения услуг от последнего не поступил в адрес ИСПОЛНИТЕЛЯ подписанный акт или возражения, касающиеся выполнения услуг по настоящему договору, то акт оказания/получения услуг считается подписанным ЗАКАЗЧИКОМ, а услуги считаются оказанными.</w:t>
      </w:r>
    </w:p>
    <w:p>
      <w:pPr>
        <w:pStyle w:val="Style23"/>
        <w:ind w:left="0" w:right="0" w:hanging="0"/>
        <w:rPr>
          <w:bCs/>
          <w:sz w:val="24"/>
          <w:szCs w:val="24"/>
        </w:rPr>
      </w:pPr>
      <w:r>
        <w:rPr>
          <w:bCs/>
          <w:sz w:val="24"/>
          <w:szCs w:val="24"/>
        </w:rPr>
      </w:r>
    </w:p>
    <w:p>
      <w:pPr>
        <w:pStyle w:val="Style23"/>
        <w:ind w:left="2123" w:right="0" w:firstLine="709"/>
        <w:rPr/>
      </w:pPr>
      <w:r>
        <w:rPr>
          <w:szCs w:val="24"/>
        </w:rPr>
        <w:t xml:space="preserve">   </w:t>
      </w:r>
      <w:r>
        <w:rPr>
          <w:szCs w:val="24"/>
        </w:rPr>
        <w:t>3. ОБЯЗАННОСТИ  “ИСПОЛНИТЕЛЯ”.</w:t>
      </w:r>
    </w:p>
    <w:p>
      <w:pPr>
        <w:pStyle w:val="Style23"/>
        <w:rPr/>
      </w:pPr>
      <w:r>
        <w:rPr>
          <w:szCs w:val="24"/>
        </w:rPr>
        <w:t xml:space="preserve">3.1. Осуществлять в установленном порядке прием под централизованное наблюдение объектов, указанных в перечне охраняемых объектов,  а также снятие этих объектов                       с охраны. </w:t>
      </w:r>
    </w:p>
    <w:p>
      <w:pPr>
        <w:pStyle w:val="Normal"/>
        <w:ind w:left="0" w:right="0" w:firstLine="709"/>
        <w:jc w:val="both"/>
        <w:rPr/>
      </w:pPr>
      <w:r>
        <w:rPr>
          <w:sz w:val="24"/>
          <w:szCs w:val="24"/>
        </w:rPr>
        <w:t xml:space="preserve">3.2.  При поступлении информации о срабатывании сигнализации на объекте                      в охраняемый период времени направлять группу задержания для внешнего осмотра целостности объекта, а при необходимости - принятия мер к задержанию проникших                 на объект лиц.  </w:t>
      </w:r>
    </w:p>
    <w:p>
      <w:pPr>
        <w:pStyle w:val="Normal"/>
        <w:ind w:left="0" w:right="0" w:firstLine="709"/>
        <w:jc w:val="both"/>
        <w:rPr/>
      </w:pPr>
      <w:r>
        <w:rPr>
          <w:sz w:val="24"/>
          <w:szCs w:val="24"/>
        </w:rPr>
        <w:t>3.3. Совместно с представителем ЗАКАЗЧИКА производить вскрытие объекта для внутреннего осмотра помещений с целью выяснения причин срабатывания  сигнализации и их устранения с составлением письменного акта</w:t>
      </w:r>
      <w:r>
        <w:rPr>
          <w:b/>
          <w:sz w:val="24"/>
          <w:szCs w:val="24"/>
        </w:rPr>
        <w:t xml:space="preserve"> </w:t>
      </w:r>
      <w:r>
        <w:rPr>
          <w:sz w:val="24"/>
          <w:szCs w:val="24"/>
        </w:rPr>
        <w:t>осмотра охраняемого объекта в 2-х экземплярах,  по одному для каждой из сторон.</w:t>
      </w:r>
    </w:p>
    <w:p>
      <w:pPr>
        <w:pStyle w:val="Normal"/>
        <w:ind w:left="0" w:right="0" w:firstLine="709"/>
        <w:jc w:val="both"/>
        <w:rPr/>
      </w:pPr>
      <w:r>
        <w:rPr>
          <w:sz w:val="24"/>
          <w:szCs w:val="24"/>
        </w:rPr>
        <w:t>3.4. Содействовать прибытию на объект представителей ЗАКАЗЧИКА с целью выяснения причин срабатывания сигнализации.</w:t>
      </w:r>
    </w:p>
    <w:p>
      <w:pPr>
        <w:pStyle w:val="Normal"/>
        <w:ind w:left="0" w:right="0" w:firstLine="709"/>
        <w:jc w:val="both"/>
        <w:rPr/>
      </w:pPr>
      <w:r>
        <w:rPr>
          <w:sz w:val="24"/>
          <w:szCs w:val="24"/>
        </w:rPr>
        <w:t>3.5. Сообщать в дежурную часть органа внутренних дел  и ЗАКАЗЧИКУ о фактах нарушения целостности объекта в охраняемое время и до прибытия представителей ЗАКАЗЧИКА и следственно-оперативной группы ОВД обеспечивать неприкосновенность места происшествия и охрану объекта.</w:t>
      </w:r>
    </w:p>
    <w:p>
      <w:pPr>
        <w:pStyle w:val="Normal"/>
        <w:ind w:left="0" w:right="0" w:firstLine="709"/>
        <w:jc w:val="both"/>
        <w:rPr/>
      </w:pPr>
      <w:r>
        <w:rPr>
          <w:sz w:val="24"/>
          <w:szCs w:val="24"/>
        </w:rPr>
        <w:t>3.6. При наличии заявления ЗАКАЗЧИКА о причиненном в охраняемое время ущербе, при невыполнении ИСПОЛНИТЕЛЕМ  своих обязательств по договору, участвовать                    в определении размера этого ущерба и в сверке остатков материальных ценностей.</w:t>
      </w:r>
    </w:p>
    <w:p>
      <w:pPr>
        <w:pStyle w:val="Normal"/>
        <w:ind w:left="0" w:right="0" w:firstLine="709"/>
        <w:jc w:val="both"/>
        <w:rPr/>
      </w:pPr>
      <w:r>
        <w:rPr>
          <w:sz w:val="24"/>
          <w:szCs w:val="24"/>
        </w:rPr>
        <w:t>3.7. В случаях: отключения электроэнергии, нарушения каналов связи охранной сигнализации с ПЦО, нарушения технической укрепленности объекта, пожара, выхода из строя средств охранной сигнализации, а также при наступлении форс-мажорных обстоятельств, когда ИСПОЛНИТЕЛЬ  не может выполнить обязанности, принятые на себя по настоящему договору, ИСПОЛНИТЕЛЬ  обязан передать охраняемый Объект под охрану представителям  ЗАКАЗЧИКА, о чем составляется двухсторонний акт для ИСПОЛНИТЕЛЯ  и ЗАКАЗЧИКА.</w:t>
      </w:r>
    </w:p>
    <w:p>
      <w:pPr>
        <w:pStyle w:val="Normal"/>
        <w:ind w:left="0" w:right="0" w:firstLine="709"/>
        <w:jc w:val="both"/>
        <w:rPr>
          <w:sz w:val="24"/>
          <w:szCs w:val="24"/>
        </w:rPr>
      </w:pPr>
      <w:r>
        <w:rPr>
          <w:sz w:val="24"/>
          <w:szCs w:val="24"/>
        </w:rPr>
        <w:t>3.8. Подписывать акт об оказании/получении услуг с учетом условий указанных в п.2.5. настоящего договора.</w:t>
      </w:r>
    </w:p>
    <w:p>
      <w:pPr>
        <w:pStyle w:val="Normal"/>
        <w:ind w:left="0" w:right="0" w:firstLine="709"/>
        <w:jc w:val="both"/>
        <w:rPr/>
      </w:pPr>
      <w:r>
        <w:rPr/>
      </w:r>
    </w:p>
    <w:p>
      <w:pPr>
        <w:pStyle w:val="Normal"/>
        <w:ind w:left="0" w:right="0" w:firstLine="709"/>
        <w:jc w:val="center"/>
        <w:rPr/>
      </w:pPr>
      <w:r>
        <w:rPr>
          <w:sz w:val="24"/>
          <w:szCs w:val="24"/>
        </w:rPr>
        <w:t>4. ОБЯЗАННОСТИ «ЗАКАЗЧИКА».</w:t>
      </w:r>
    </w:p>
    <w:p>
      <w:pPr>
        <w:pStyle w:val="Normal"/>
        <w:ind w:left="0" w:right="0" w:firstLine="709"/>
        <w:jc w:val="both"/>
        <w:rPr/>
      </w:pPr>
      <w:r>
        <w:rPr>
          <w:sz w:val="24"/>
          <w:szCs w:val="24"/>
        </w:rPr>
        <w:t xml:space="preserve">4.1. Осуществлять в установленные сроки, определенные договором и актами обследования, мероприятия по технической укрепленности объектов и их оборудованию средствами сигнализации в соответствии с действующими нормативными документами, создавать надлежащие условия для обеспечения сохранности материальных ценностей и содействовать ИСПОЛНИТЕЛЮ при выполнении им своих обязанностей. </w:t>
      </w:r>
    </w:p>
    <w:p>
      <w:pPr>
        <w:pStyle w:val="Normal"/>
        <w:ind w:left="0" w:right="0" w:firstLine="709"/>
        <w:jc w:val="both"/>
        <w:rPr/>
      </w:pPr>
      <w:r>
        <w:rPr>
          <w:sz w:val="24"/>
          <w:szCs w:val="24"/>
        </w:rPr>
        <w:t>4.2.  Перед сдачей объекта под охрану:</w:t>
      </w:r>
    </w:p>
    <w:p>
      <w:pPr>
        <w:pStyle w:val="Normal"/>
        <w:ind w:left="0" w:right="0" w:firstLine="709"/>
        <w:jc w:val="both"/>
        <w:rPr/>
      </w:pPr>
      <w:r>
        <w:rPr>
          <w:sz w:val="24"/>
          <w:szCs w:val="24"/>
        </w:rPr>
        <w:t>4.2.1. Закрывать на замки все двери, окна, форточки, люки, вентиляционные окна. Проверять, чтобы в охраняемом помещении не оставались посторонние лица, животные, включенные электроприборы, а также другие источники, которые могут привести к возникновению пожара.</w:t>
      </w:r>
    </w:p>
    <w:p>
      <w:pPr>
        <w:pStyle w:val="Normal"/>
        <w:ind w:left="0" w:right="0" w:firstLine="709"/>
        <w:jc w:val="both"/>
        <w:rPr/>
      </w:pPr>
      <w:r>
        <w:rPr>
          <w:sz w:val="24"/>
          <w:szCs w:val="24"/>
        </w:rPr>
        <w:t>4.2</w:t>
      </w:r>
      <w:r>
        <w:rPr>
          <w:rFonts w:eastAsia="Times New Roman" w:cs="Times New Roman"/>
          <w:color w:val="auto"/>
          <w:kern w:val="0"/>
          <w:sz w:val="24"/>
          <w:szCs w:val="24"/>
          <w:lang w:val="ru-RU" w:eastAsia="zh-CN" w:bidi="ar-SA"/>
        </w:rPr>
        <w:t xml:space="preserve">.2. Проверять (готовность) работоспособность технических средств охраны на Объекте. В случае необходимости вскрытия объекта в охраняемое время ЗАКАЗЧИК обязан информировать по телефону или иным способом дежурного ПЦО или дежурного пульта управления ИСПОЛНИТЕЛЯ перед снятием объекта с охраны. </w:t>
      </w:r>
    </w:p>
    <w:p>
      <w:pPr>
        <w:pStyle w:val="Normal"/>
        <w:ind w:left="0" w:right="0" w:firstLine="709"/>
        <w:jc w:val="both"/>
        <w:rPr/>
      </w:pPr>
      <w:r>
        <w:rPr>
          <w:rFonts w:eastAsia="Times New Roman" w:cs="Times New Roman"/>
          <w:color w:val="auto"/>
          <w:kern w:val="0"/>
          <w:sz w:val="24"/>
          <w:szCs w:val="24"/>
          <w:lang w:val="ru-RU" w:eastAsia="zh-CN" w:bidi="ar-SA"/>
        </w:rPr>
        <w:t>4.3. Предоставлять ИСПОЛНИТЕЛЮ не поздн</w:t>
      </w:r>
      <w:r>
        <w:rPr>
          <w:sz w:val="24"/>
          <w:szCs w:val="24"/>
        </w:rPr>
        <w:t>ее чем за 10 дней сведения о начале проведения  ремонта помещений или переоборудование объектов, об изменении на них режима или профиля работы, появлении новых или изменении мест хранения ценностей, сдачи в аренду помещений или площадей другим юридическим или физическим лицам, а также о выполнении работ, вследствие которых могут потребоваться внесение изменений в систему охраны объекта.</w:t>
      </w:r>
    </w:p>
    <w:p>
      <w:pPr>
        <w:pStyle w:val="Normal"/>
        <w:ind w:left="0" w:right="0" w:firstLine="709"/>
        <w:jc w:val="both"/>
        <w:rPr/>
      </w:pPr>
      <w:r>
        <w:rPr>
          <w:sz w:val="24"/>
          <w:szCs w:val="24"/>
        </w:rPr>
        <w:t>4.4. Обеспечивать стабильное снабжение электроэнергией технических средств сигнализации и их резервное электропитание, с помощью аккумуляторов и элементов питания приобретая их за счет собственных средств, принимать меры к своевременному ремонту сетей подвода электроэнергии, телефонных линий, к которым подключен Комплекс ТСО, а также предоставлять ИСПОЛНИТЕЛЮ  в соответствии с проектными решениями в исправном состоянии каналы связи (линии связи, линии электропередачи и т.п.) для передачи на ПЦН информации о состоянии средств сигнализации, установленных на Объекте и подключения вторых и третьих рубежей охранной сигнализации.</w:t>
      </w:r>
    </w:p>
    <w:p>
      <w:pPr>
        <w:pStyle w:val="Normal"/>
        <w:ind w:left="0" w:right="0" w:firstLine="709"/>
        <w:jc w:val="both"/>
        <w:rPr/>
      </w:pPr>
      <w:r>
        <w:rPr>
          <w:sz w:val="24"/>
          <w:szCs w:val="24"/>
        </w:rPr>
        <w:t xml:space="preserve">4.5. Производить за свой счет замену вышедших из строя аккумуляторных батарей            к резервным источникам питания. </w:t>
      </w:r>
    </w:p>
    <w:p>
      <w:pPr>
        <w:pStyle w:val="Normal"/>
        <w:ind w:left="0" w:right="0" w:firstLine="709"/>
        <w:jc w:val="both"/>
        <w:rPr/>
      </w:pPr>
      <w:r>
        <w:rPr>
          <w:sz w:val="24"/>
          <w:szCs w:val="24"/>
        </w:rPr>
        <w:t>4.6. Сдавать объект под охрану ИСПОЛНИТЕЛЮ и снимать его из-под охраны  в  определенное “СТОРОНАМИ”  время.</w:t>
      </w:r>
    </w:p>
    <w:p>
      <w:pPr>
        <w:pStyle w:val="Normal"/>
        <w:ind w:left="0" w:right="0" w:firstLine="709"/>
        <w:jc w:val="both"/>
        <w:rPr/>
      </w:pPr>
      <w:r>
        <w:rPr>
          <w:sz w:val="24"/>
          <w:szCs w:val="24"/>
        </w:rPr>
        <w:t xml:space="preserve">4.7. При получение сообщения от ИСПОЛНИТЕЛЯ  о срабатывании средств охранной сигнализации, нарушении целостности Объекта в охраняемый период времени представитель ЗАКАЗЧИКА обязан прибыть на Объект, в возможно короткий срок, но не позднее одного часа после получения сообщения, для его вскрытия и предоставить возможность ИСПОЛНИТЕЛЮ  произвести осмотр всех внутренних помещений с целью выявления причин срабатывания сигнализации.  </w:t>
      </w:r>
    </w:p>
    <w:p>
      <w:pPr>
        <w:pStyle w:val="Normal"/>
        <w:ind w:left="0" w:right="0" w:firstLine="709"/>
        <w:jc w:val="both"/>
        <w:rPr/>
      </w:pPr>
      <w:r>
        <w:rPr>
          <w:sz w:val="24"/>
          <w:szCs w:val="24"/>
        </w:rPr>
        <w:t>4.8. В случаях указанных в п. 3.7. настоящего договора принять Объект под собственную охрану.</w:t>
      </w:r>
    </w:p>
    <w:p>
      <w:pPr>
        <w:pStyle w:val="Normal"/>
        <w:ind w:left="0" w:right="0" w:firstLine="709"/>
        <w:jc w:val="both"/>
        <w:rPr/>
      </w:pPr>
      <w:r>
        <w:rPr>
          <w:sz w:val="24"/>
          <w:szCs w:val="24"/>
        </w:rPr>
        <w:t xml:space="preserve">4.9. Письменно уведомлять ИСПОЛНИТЕЛЯ о лицах, допущенных или отстраненных от сдачи  объекта под охрану и принятия из-под охраны.  </w:t>
      </w:r>
    </w:p>
    <w:p>
      <w:pPr>
        <w:pStyle w:val="Normal"/>
        <w:ind w:left="0" w:right="0" w:firstLine="709"/>
        <w:jc w:val="both"/>
        <w:rPr/>
      </w:pPr>
      <w:r>
        <w:rPr>
          <w:sz w:val="24"/>
          <w:szCs w:val="24"/>
        </w:rPr>
        <w:t xml:space="preserve">4.10. Не допускать к пользованию средствами охранной сигнализации лиц, не прошедших инструктаж о порядке их использования, а также не заявленных в установленном порядке ИСПОЛНИТЕЛЮ. </w:t>
      </w:r>
    </w:p>
    <w:p>
      <w:pPr>
        <w:pStyle w:val="Normal"/>
        <w:ind w:left="0" w:right="0" w:firstLine="709"/>
        <w:jc w:val="both"/>
        <w:rPr/>
      </w:pPr>
      <w:r>
        <w:rPr>
          <w:sz w:val="24"/>
          <w:szCs w:val="24"/>
        </w:rPr>
        <w:t>4.11. Своевременно производить оплату за оказанные услуги в соответствии с разделом 5 настоящего  договора.</w:t>
      </w:r>
    </w:p>
    <w:p>
      <w:pPr>
        <w:pStyle w:val="Normal"/>
        <w:ind w:left="0" w:right="0" w:firstLine="709"/>
        <w:jc w:val="both"/>
        <w:rPr>
          <w:rFonts w:ascii="Times New Roman" w:hAnsi="Times New Roman" w:eastAsia="Times New Roman" w:cs="Times New Roman"/>
          <w:color w:val="auto"/>
          <w:kern w:val="0"/>
          <w:sz w:val="24"/>
          <w:szCs w:val="24"/>
          <w:lang w:val="ru-RU" w:eastAsia="zh-CN" w:bidi="ar-SA"/>
        </w:rPr>
      </w:pPr>
      <w:r>
        <w:rPr>
          <w:rFonts w:eastAsia="Times New Roman" w:cs="Times New Roman"/>
          <w:color w:val="auto"/>
          <w:kern w:val="0"/>
          <w:sz w:val="24"/>
          <w:szCs w:val="24"/>
          <w:lang w:val="ru-RU" w:eastAsia="zh-CN" w:bidi="ar-SA"/>
        </w:rPr>
        <w:t xml:space="preserve">4.12. Обеспечить проведение ремонтных и регламентных работ по техническому обслуживанию средств сигнализации. Незамедлительно сообщать в обслуживающую организацию о возникших неисправностях средств сигнализации и обеспечить возможность проведения ремонтных и регламентных работ по техническому обслуживанию </w:t>
      </w:r>
      <w:r>
        <w:rPr>
          <w:rFonts w:eastAsia="Times New Roman" w:cs="Times New Roman"/>
          <w:color w:val="auto"/>
          <w:kern w:val="0"/>
          <w:sz w:val="24"/>
          <w:szCs w:val="24"/>
          <w:lang w:val="ru-RU" w:eastAsia="zh-CN" w:bidi="ar-SA"/>
        </w:rPr>
        <w:t>средств сигнализации</w:t>
      </w:r>
      <w:r>
        <w:rPr>
          <w:rFonts w:eastAsia="Times New Roman" w:cs="Times New Roman"/>
          <w:color w:val="auto"/>
          <w:kern w:val="0"/>
          <w:sz w:val="24"/>
          <w:szCs w:val="24"/>
          <w:lang w:val="ru-RU" w:eastAsia="zh-CN" w:bidi="ar-SA"/>
        </w:rPr>
        <w:t xml:space="preserve">. </w:t>
      </w:r>
    </w:p>
    <w:p>
      <w:pPr>
        <w:pStyle w:val="Normal"/>
        <w:ind w:left="0" w:right="0" w:firstLine="709"/>
        <w:jc w:val="both"/>
        <w:rPr/>
      </w:pPr>
      <w:r>
        <w:rPr>
          <w:sz w:val="24"/>
          <w:szCs w:val="24"/>
        </w:rPr>
        <w:t xml:space="preserve">4.13. Не разглашать посторонним лицам принципы и систему охраны, а также присвоенные пультовые номера, пароли и коды пользователей.  </w:t>
      </w:r>
    </w:p>
    <w:p>
      <w:pPr>
        <w:pStyle w:val="Normal"/>
        <w:ind w:left="0" w:right="0" w:firstLine="709"/>
        <w:jc w:val="both"/>
        <w:rPr/>
      </w:pPr>
      <w:r>
        <w:rPr>
          <w:sz w:val="24"/>
          <w:szCs w:val="24"/>
        </w:rPr>
        <w:t>4.14. При наличии на Объекте устройств оконечных с автоматизированным процессом приема-сдачи под охрану при помощи электронных ключей доступа, типа «</w:t>
      </w:r>
      <w:r>
        <w:rPr>
          <w:sz w:val="24"/>
          <w:szCs w:val="24"/>
          <w:lang w:val="en-US"/>
        </w:rPr>
        <w:t>Touch</w:t>
      </w:r>
      <w:r>
        <w:rPr>
          <w:sz w:val="24"/>
          <w:szCs w:val="24"/>
        </w:rPr>
        <w:t xml:space="preserve"> </w:t>
      </w:r>
      <w:r>
        <w:rPr>
          <w:sz w:val="24"/>
          <w:szCs w:val="24"/>
          <w:lang w:val="en-US"/>
        </w:rPr>
        <w:t>memory</w:t>
      </w:r>
      <w:r>
        <w:rPr>
          <w:sz w:val="24"/>
          <w:szCs w:val="24"/>
        </w:rPr>
        <w:t>» (далее по тексту – ЭКД), ЗАКАЗЧИК обязан обеспечить их сохранность. В случае утери (хищения) ЭКД ЗАКАЗЧИК обязан незамедлительно поставить об этом в известность представителя ИСПОЛНИТЕЛЯ, в противном случае ИСПОЛНИТЕЛЬ освобождается от какой либо ответственности за причинение ущерба, либо хищение имущества ЗАКАЗЧИКА, если это явилось результатом несвоевременного сообщения о пропаже ЭКД.</w:t>
      </w:r>
    </w:p>
    <w:p>
      <w:pPr>
        <w:pStyle w:val="Normal"/>
        <w:ind w:left="0" w:right="0" w:firstLine="709"/>
        <w:jc w:val="both"/>
        <w:rPr/>
      </w:pPr>
      <w:r>
        <w:rPr>
          <w:sz w:val="24"/>
          <w:szCs w:val="24"/>
        </w:rPr>
        <w:t xml:space="preserve">4.15. Сообщать о факте нарушения целостности охраняемых помещений или причинения ущерба в дежурную часть органа внутренних дел и ИСПОЛНИТЕЛЮ, и до прибытия представителей оперативно-следственной группы обеспечить неприкосновенность места происшествия. Снимать остатки товарно-материальных ценностей по определению причиненного ущерба с обязательным присутствием ответственных представителей ИСПОЛНИТЕЛЯ. </w:t>
      </w:r>
    </w:p>
    <w:p>
      <w:pPr>
        <w:pStyle w:val="Normal"/>
        <w:ind w:left="0" w:right="0" w:firstLine="709"/>
        <w:jc w:val="both"/>
        <w:rPr/>
      </w:pPr>
      <w:r>
        <w:rPr>
          <w:sz w:val="24"/>
          <w:szCs w:val="24"/>
        </w:rPr>
        <w:t xml:space="preserve">4.16. Письменно информировать ИСПОЛНИТЕЛЯ о наличии спора о праве собственности (об управлении имуществом) на Объект ЗАКАЗЧИКА в судебных и иных органах и результатах его рассмотрения в течение 5 календарных дней с момента наступления соответствующих событий. </w:t>
      </w:r>
    </w:p>
    <w:p>
      <w:pPr>
        <w:pStyle w:val="Normal"/>
        <w:ind w:left="0" w:right="0" w:firstLine="709"/>
        <w:jc w:val="both"/>
        <w:rPr/>
      </w:pPr>
      <w:r>
        <w:rPr>
          <w:sz w:val="24"/>
          <w:szCs w:val="24"/>
        </w:rPr>
        <w:t>4.17. Подписывать акт об оказании/получении услуг с учетом условий указанных в п.2.5. настоящего договора.</w:t>
      </w:r>
    </w:p>
    <w:p>
      <w:pPr>
        <w:pStyle w:val="Normal"/>
        <w:ind w:left="0" w:right="0" w:firstLine="709"/>
        <w:jc w:val="both"/>
        <w:rPr/>
      </w:pPr>
      <w:r>
        <w:rPr>
          <w:sz w:val="24"/>
          <w:szCs w:val="24"/>
        </w:rPr>
        <w:t>4.18. Своевременно, не допуская  возникновения задолженности, оплачивать услуги оператора сотовой связи, обеспечив неснижаемый остаток денежных средств на счете в размере не менее 50 (пятидесяти) рублей.</w:t>
      </w:r>
    </w:p>
    <w:p>
      <w:pPr>
        <w:pStyle w:val="Normal"/>
        <w:ind w:left="0" w:right="0" w:firstLine="709"/>
        <w:jc w:val="both"/>
        <w:rPr>
          <w:sz w:val="24"/>
          <w:szCs w:val="24"/>
        </w:rPr>
      </w:pPr>
      <w:r>
        <w:rPr>
          <w:sz w:val="24"/>
          <w:szCs w:val="24"/>
        </w:rPr>
      </w:r>
    </w:p>
    <w:p>
      <w:pPr>
        <w:pStyle w:val="Normal"/>
        <w:jc w:val="both"/>
        <w:rPr/>
      </w:pPr>
      <w:r>
        <w:rPr>
          <w:sz w:val="24"/>
          <w:szCs w:val="24"/>
        </w:rPr>
        <w:t xml:space="preserve"> </w:t>
      </w:r>
      <w:r>
        <w:rPr>
          <w:sz w:val="24"/>
          <w:szCs w:val="24"/>
        </w:rPr>
        <w:tab/>
        <w:t xml:space="preserve">                           </w:t>
      </w:r>
    </w:p>
    <w:p>
      <w:pPr>
        <w:pStyle w:val="Normal"/>
        <w:jc w:val="center"/>
        <w:rPr/>
      </w:pPr>
      <w:r>
        <w:rPr>
          <w:sz w:val="24"/>
          <w:szCs w:val="24"/>
        </w:rPr>
        <w:t>5.  СУММА ДОГОВОРА И ПОРЯДОК РАСЧЕТОВ.</w:t>
      </w:r>
    </w:p>
    <w:p>
      <w:pPr>
        <w:pStyle w:val="Normal"/>
        <w:ind w:left="0" w:right="0" w:firstLine="709"/>
        <w:jc w:val="both"/>
        <w:rPr/>
      </w:pPr>
      <w:r>
        <w:rPr>
          <w:sz w:val="24"/>
          <w:szCs w:val="24"/>
        </w:rPr>
        <w:t xml:space="preserve">5.1. Сумма ежемесячного платежа за услуги ИСПОЛНИТЕЛЯ по настоящему договору определяется в зависимости от количества и категории  охраняемых объектов,                а также времени их охраны и указывается в Приложение № 1. </w:t>
      </w:r>
      <w:r>
        <w:rPr>
          <w:color w:val="000000"/>
          <w:sz w:val="24"/>
          <w:szCs w:val="24"/>
        </w:rPr>
        <w:t>Стоимость услуг ИСПОЛНИТЕЛЯ в соответствии со ст. 146 Налогового кодекса Российской Федерации               не облагается НДС.</w:t>
      </w:r>
    </w:p>
    <w:p>
      <w:pPr>
        <w:pStyle w:val="Normal"/>
        <w:ind w:left="0" w:right="0" w:firstLine="709"/>
        <w:jc w:val="both"/>
        <w:rPr/>
      </w:pPr>
      <w:r>
        <w:rPr>
          <w:sz w:val="24"/>
          <w:szCs w:val="24"/>
        </w:rPr>
        <w:t xml:space="preserve">5.2. Оплата услуг ИСПОЛНИТЕЛЯ  производится, ежемесячно, не позднее 05 числа месяца следующего за расчетным, путем перечисления ЗАКАЗЧИКОМ денежной суммы            в соответствии с п. 5.1. договора на лицевой счет ИСПОЛНИТЕЛЯ  на основании акта              об оказании/получении услуг и счета-фактуры.  </w:t>
      </w:r>
    </w:p>
    <w:p>
      <w:pPr>
        <w:pStyle w:val="Normal"/>
        <w:jc w:val="both"/>
        <w:rPr/>
      </w:pPr>
      <w:r>
        <w:rPr>
          <w:sz w:val="24"/>
          <w:szCs w:val="24"/>
        </w:rPr>
        <w:t xml:space="preserve"> </w:t>
      </w:r>
    </w:p>
    <w:p>
      <w:pPr>
        <w:pStyle w:val="Normal"/>
        <w:jc w:val="both"/>
        <w:rPr>
          <w:sz w:val="24"/>
          <w:szCs w:val="24"/>
        </w:rPr>
      </w:pPr>
      <w:r>
        <w:rPr>
          <w:sz w:val="24"/>
          <w:szCs w:val="24"/>
        </w:rPr>
      </w:r>
    </w:p>
    <w:p>
      <w:pPr>
        <w:pStyle w:val="Normal"/>
        <w:ind w:left="0" w:right="0" w:firstLine="709"/>
        <w:jc w:val="both"/>
        <w:rPr/>
      </w:pPr>
      <w:r>
        <w:rPr>
          <w:sz w:val="24"/>
          <w:szCs w:val="24"/>
        </w:rPr>
        <w:t xml:space="preserve">                              </w:t>
      </w:r>
      <w:r>
        <w:rPr>
          <w:sz w:val="24"/>
          <w:szCs w:val="24"/>
        </w:rPr>
        <w:t xml:space="preserve">6. ОТВЕТСТВЕННОСТЬ «ИСПОЛНИТЕЛЯ».       </w:t>
      </w:r>
    </w:p>
    <w:p>
      <w:pPr>
        <w:pStyle w:val="Style23"/>
        <w:rPr/>
      </w:pPr>
      <w:r>
        <w:rPr>
          <w:szCs w:val="24"/>
        </w:rPr>
        <w:t>6.1. ИСПОЛНИТЕЛЬ несёт ответственность за ущерб:</w:t>
      </w:r>
    </w:p>
    <w:p>
      <w:pPr>
        <w:pStyle w:val="Normal"/>
        <w:ind w:left="0" w:right="0" w:firstLine="708"/>
        <w:jc w:val="both"/>
        <w:rPr/>
      </w:pPr>
      <w:r>
        <w:rPr>
          <w:sz w:val="24"/>
          <w:szCs w:val="24"/>
        </w:rPr>
        <w:t>6.1.1. Причинённый кражами имущества и материальных ценностей, совершёнными посредством взлома охраняемого объекта в охраняемый период времени в результате ненадлежащего выполнения ИСПОЛНИТЕЛЕМ принятых по договору обязательств, в размере прямого действительного ущерба;</w:t>
      </w:r>
    </w:p>
    <w:p>
      <w:pPr>
        <w:pStyle w:val="Normal"/>
        <w:ind w:left="0" w:right="0" w:firstLine="709"/>
        <w:jc w:val="both"/>
        <w:rPr/>
      </w:pPr>
      <w:r>
        <w:rPr>
          <w:sz w:val="24"/>
          <w:szCs w:val="24"/>
        </w:rPr>
        <w:t xml:space="preserve">6.1.2. Нанесённый уничтожением или повреждением имущества ЗАКАЗЧИКА посторонними лицами, проникшими на охраняемый объект в охраняемый период времени в результате ненадлежащего выполнения ИСПОЛНИТЕЛЕМ принятых по договору обязательств, в размере прямого действительного ущерба. </w:t>
      </w:r>
    </w:p>
    <w:p>
      <w:pPr>
        <w:pStyle w:val="Style23"/>
        <w:rPr/>
      </w:pPr>
      <w:r>
        <w:rPr>
          <w:szCs w:val="24"/>
        </w:rPr>
        <w:t xml:space="preserve">6.2. Возмещение ЗАКАЗЧИКУ причиненного реального ущерба производится на основании вступившего в законную силу решения суда, установившего вину ИСПОЛНИТЕЛЯ. Размер ущерба должен быть подтвержден соответствующими документами и расчетом стоимости  похищенных, уничтоженных или поврежденных материальных ценностей, составленных с обязательным участием ИСПОЛНИТЕЛЯ и сверенных с данными бухгалтерского учета ЗАКАЗЧИКА. </w:t>
      </w:r>
    </w:p>
    <w:p>
      <w:pPr>
        <w:pStyle w:val="Normal"/>
        <w:ind w:left="0" w:right="0" w:firstLine="709"/>
        <w:jc w:val="both"/>
        <w:rPr/>
      </w:pPr>
      <w:r>
        <w:rPr>
          <w:sz w:val="24"/>
          <w:szCs w:val="24"/>
        </w:rPr>
        <w:t xml:space="preserve"> </w:t>
      </w:r>
      <w:r>
        <w:rPr>
          <w:sz w:val="24"/>
          <w:szCs w:val="24"/>
        </w:rPr>
        <w:t xml:space="preserve">6.3. Возврат ЗАКАЗЧИКУ похищенных ценностей, изъятых следственными органами у лиц, совершивших кражу, производится этими органами или судом в установленном законом порядке. При этом ИСПОЛНИТЕЛЬ не принимает на ответственное хранение от указанных органов имущество, подлежащее возврату ЗАКАЗЧИКУ. Стоимость возвращенных материальных ценностей исключается из общей суммы требований, которые могут быть заявлены ИСПОЛНИТЕЛЮ, а ранее возмещенная сумма за эти ценности выплачивается ЗАКАЗЧИКОМ   ИСПОЛНИТЕЛЮ в течение 10 календарных  дней после получения ценностей ЗАКАЗЧИКОМ. Если часть возвращенных материальных ценностей окажется утратившей стоимость, об этом составляется акт с участием представителей обеих сторон для определения процента их годности. В этом случае ИСПОЛНИТЕЛЕМ возмещается только размер уценки. </w:t>
      </w:r>
    </w:p>
    <w:p>
      <w:pPr>
        <w:pStyle w:val="Normal"/>
        <w:ind w:left="0" w:right="0" w:firstLine="709"/>
        <w:jc w:val="both"/>
        <w:rPr/>
      </w:pPr>
      <w:r>
        <w:rPr>
          <w:sz w:val="24"/>
          <w:szCs w:val="24"/>
        </w:rPr>
        <w:t>6.4. ИСПОЛНИТЕЛЬ не несет ответственности:</w:t>
      </w:r>
    </w:p>
    <w:p>
      <w:pPr>
        <w:pStyle w:val="Normal"/>
        <w:ind w:left="0" w:right="0" w:firstLine="709"/>
        <w:jc w:val="both"/>
        <w:rPr/>
      </w:pPr>
      <w:r>
        <w:rPr>
          <w:sz w:val="24"/>
          <w:szCs w:val="24"/>
        </w:rPr>
        <w:t>6.4.1. За ущерб, причиненный посторонними лицами, в результате несоблюдения  ЗАКАЗЧИКОМ пунктов с 4.1. по  4.10., с 4.12. по 4.15., 4.18. настоящего договора.</w:t>
      </w:r>
    </w:p>
    <w:p>
      <w:pPr>
        <w:pStyle w:val="Normal"/>
        <w:ind w:left="0" w:right="0" w:firstLine="709"/>
        <w:jc w:val="both"/>
        <w:rPr/>
      </w:pPr>
      <w:r>
        <w:rPr>
          <w:sz w:val="24"/>
          <w:szCs w:val="24"/>
        </w:rPr>
        <w:t>6.4.2. За ущерб, причиненный посторонними лицами, если Объект не был передан ЗАКАЗЧИКОМ под охрану на ПЦН.</w:t>
      </w:r>
    </w:p>
    <w:p>
      <w:pPr>
        <w:pStyle w:val="Normal"/>
        <w:ind w:left="0" w:right="0" w:firstLine="709"/>
        <w:jc w:val="both"/>
        <w:rPr/>
      </w:pPr>
      <w:r>
        <w:rPr>
          <w:sz w:val="24"/>
          <w:szCs w:val="24"/>
        </w:rPr>
        <w:t xml:space="preserve">6.4.3. За ущерб,  причиненный посторонними лицами, в случае отсутствия на Объекте электроэнергии, отсутствия денежных средств на счете оператора сотовой связи, а также              в случае невыполнения ЗАКАЗЧИКОМ требований по технической укрепленности Объекта, по оборудованию или поддержанию в исправном состоянии средств охранной сигнализации, а также за нарушение указанного в договоре, актах обследования или действующих нормативных актов, порядка хранения ценностей, оружия или другого имущества                       в охраняемое время, если нарушение этих требований явилось причиной причинения ущерба. </w:t>
      </w:r>
    </w:p>
    <w:p>
      <w:pPr>
        <w:pStyle w:val="Normal"/>
        <w:ind w:left="0" w:right="0" w:firstLine="709"/>
        <w:jc w:val="both"/>
        <w:rPr/>
      </w:pPr>
      <w:r>
        <w:rPr>
          <w:sz w:val="24"/>
          <w:szCs w:val="24"/>
        </w:rPr>
        <w:t>6.4.4. За оставленное в охраняемом помещении личное имущество работников ЗАКАЗЧИКА и не принадлежащее ему имущество.</w:t>
      </w:r>
    </w:p>
    <w:p>
      <w:pPr>
        <w:pStyle w:val="Normal"/>
        <w:ind w:left="0" w:right="0" w:firstLine="709"/>
        <w:jc w:val="both"/>
        <w:rPr/>
      </w:pPr>
      <w:r>
        <w:rPr>
          <w:sz w:val="24"/>
          <w:szCs w:val="24"/>
        </w:rPr>
        <w:t>6.4.5. За ущерб, причиненный арендатору или другому пользователю охраняемого помещения,  если непосредственно с ним не заключен договор на охрану.</w:t>
      </w:r>
    </w:p>
    <w:p>
      <w:pPr>
        <w:pStyle w:val="Normal"/>
        <w:ind w:left="0" w:right="0" w:firstLine="709"/>
        <w:jc w:val="both"/>
        <w:rPr/>
      </w:pPr>
      <w:r>
        <w:rPr>
          <w:sz w:val="24"/>
          <w:szCs w:val="24"/>
        </w:rPr>
        <w:t>6.4.6. За ущерб, причиненный ЗАКАЗЧИКУ в охраняемый период времени иным способом, не связанным с проникновением сторонних лиц на охраняемый объект (пожар, затопление, проникновение лица на Объект до сдачи его под охрану, и т.п.).</w:t>
      </w:r>
    </w:p>
    <w:p>
      <w:pPr>
        <w:pStyle w:val="Normal"/>
        <w:ind w:left="0" w:right="0" w:firstLine="709"/>
        <w:jc w:val="both"/>
        <w:rPr/>
      </w:pPr>
      <w:r>
        <w:rPr>
          <w:sz w:val="24"/>
          <w:szCs w:val="24"/>
        </w:rPr>
        <w:t>6.4.7. В случае причинения ущерба в период времени, не указанного в договоре охраны.</w:t>
      </w:r>
    </w:p>
    <w:p>
      <w:pPr>
        <w:pStyle w:val="Normal"/>
        <w:ind w:left="0" w:right="0" w:firstLine="709"/>
        <w:jc w:val="both"/>
        <w:rPr/>
      </w:pPr>
      <w:r>
        <w:rPr>
          <w:sz w:val="24"/>
          <w:szCs w:val="24"/>
        </w:rPr>
        <w:t>6.4.8. Если представитель ЗАКАЗЧИКА не выехал на охраняемый объект по сообщению ИСПОЛНИТЕЛЯ, при условии, что это способствовало причинению ущерба.</w:t>
      </w:r>
    </w:p>
    <w:p>
      <w:pPr>
        <w:pStyle w:val="Style23"/>
        <w:rPr/>
      </w:pPr>
      <w:r>
        <w:rPr>
          <w:szCs w:val="24"/>
        </w:rPr>
        <w:t xml:space="preserve">6.4.9. ИСПОЛНИТЕЛЬ не несет ответственности за ущерб нанесенный конструкциям и деталям, расположенным по внешнему периметру объекта (замки, двери, окна, оконные, дверные и витринные стекла и т.п.). </w:t>
      </w:r>
    </w:p>
    <w:p>
      <w:pPr>
        <w:pStyle w:val="Style12"/>
        <w:ind w:left="0" w:right="0" w:firstLine="708"/>
        <w:rPr/>
      </w:pPr>
      <w:r>
        <w:rPr>
          <w:szCs w:val="24"/>
        </w:rPr>
        <w:t>6.4.10. За ущерб, причиненный ЗАКАЗЧИКУ (кража, повреждение или уничтожение имущества), по причине неисправности технических средств охраны, установленных на данном объекте, а также ненадлежащего исполнения обязательств предприятием, обслуживающим данные технические средства.</w:t>
      </w:r>
    </w:p>
    <w:p>
      <w:pPr>
        <w:pStyle w:val="Style12"/>
        <w:ind w:left="0" w:right="0" w:firstLine="708"/>
        <w:rPr/>
      </w:pPr>
      <w:r>
        <w:rPr>
          <w:szCs w:val="24"/>
        </w:rPr>
        <w:t xml:space="preserve">6.4.11. В случае, когда лица, проникшие на объект, задержаны. </w:t>
      </w:r>
    </w:p>
    <w:p>
      <w:pPr>
        <w:pStyle w:val="Style12"/>
        <w:ind w:left="0" w:right="0" w:firstLine="708"/>
        <w:rPr/>
      </w:pPr>
      <w:r>
        <w:rPr>
          <w:szCs w:val="24"/>
        </w:rPr>
        <w:t xml:space="preserve">6.4.12. ИСПОЛНИТЕЛЬ не несет ответственности за денежные средства оставленные на объекте сверх разрешенного кредитным учреждением лимита, а также если денежные средства, ценные бумаги хранились не в металлическом сейфе (шкафу), прикрепленном к капитальным конструкциям охраняемого объекта. </w:t>
      </w:r>
    </w:p>
    <w:p>
      <w:pPr>
        <w:pStyle w:val="Style23"/>
        <w:rPr/>
      </w:pPr>
      <w:r>
        <w:rPr>
          <w:szCs w:val="24"/>
        </w:rPr>
        <w:t xml:space="preserve"> </w:t>
      </w:r>
    </w:p>
    <w:p>
      <w:pPr>
        <w:pStyle w:val="Style23"/>
        <w:rPr/>
      </w:pPr>
      <w:r>
        <w:rPr>
          <w:szCs w:val="24"/>
        </w:rPr>
        <w:t xml:space="preserve">                                 </w:t>
      </w:r>
      <w:r>
        <w:rPr>
          <w:szCs w:val="24"/>
        </w:rPr>
        <w:t>7. ОТВЕТСТВЕННОСТЬ  «ЗАКАЗЧИКА».</w:t>
      </w:r>
    </w:p>
    <w:p>
      <w:pPr>
        <w:pStyle w:val="Style23"/>
        <w:rPr/>
      </w:pPr>
      <w:r>
        <w:rPr>
          <w:szCs w:val="24"/>
        </w:rPr>
        <w:t>7.1. В случае просрочки исполнения ЗАКАЗЧИКОМ обязательства по оплате услуг, предусмотренных настоящим договором, ИСПОЛНИТЕЛЬ вправе потребовать оплату неустойки (штрафа, пеней). Неустойка начисляется в размере 0,1% от суммы долга за каждый день просрочки платежа.</w:t>
      </w:r>
    </w:p>
    <w:p>
      <w:pPr>
        <w:pStyle w:val="Style23"/>
        <w:rPr/>
      </w:pPr>
      <w:r>
        <w:rPr>
          <w:szCs w:val="24"/>
        </w:rPr>
        <w:t>7.2. ЗАКАЗЧИК оплачивает штраф, согласно тарифам, в случаях вынужденного (ложного) выезда на охраняемый Объект группы задержания по вине ЗАКАЗЧИКА.</w:t>
      </w:r>
    </w:p>
    <w:p>
      <w:pPr>
        <w:pStyle w:val="Style23"/>
        <w:rPr>
          <w:szCs w:val="24"/>
        </w:rPr>
      </w:pPr>
      <w:r>
        <w:rPr/>
      </w:r>
    </w:p>
    <w:p>
      <w:pPr>
        <w:pStyle w:val="Normal"/>
        <w:jc w:val="both"/>
        <w:rPr/>
      </w:pPr>
      <w:r>
        <w:rPr>
          <w:sz w:val="24"/>
          <w:szCs w:val="24"/>
        </w:rPr>
        <w:t xml:space="preserve"> </w:t>
      </w:r>
    </w:p>
    <w:p>
      <w:pPr>
        <w:pStyle w:val="Style24"/>
        <w:numPr>
          <w:ilvl w:val="0"/>
          <w:numId w:val="0"/>
        </w:numPr>
        <w:ind w:left="0" w:right="0" w:hanging="0"/>
        <w:jc w:val="center"/>
        <w:rPr/>
      </w:pPr>
      <w:r>
        <w:rPr>
          <w:rFonts w:cs="Times New Roman" w:ascii="Times New Roman" w:hAnsi="Times New Roman"/>
          <w:sz w:val="24"/>
        </w:rPr>
        <w:t>8. ФОРС-МАЖОРНЫЕ ОБСТОЯТЕЛЬСТВА.</w:t>
      </w:r>
    </w:p>
    <w:p>
      <w:pPr>
        <w:pStyle w:val="Style24"/>
        <w:ind w:left="0" w:right="0" w:firstLine="709"/>
        <w:jc w:val="both"/>
        <w:rPr/>
      </w:pPr>
      <w:r>
        <w:rPr>
          <w:rFonts w:cs="Times New Roman" w:ascii="Times New Roman" w:hAnsi="Times New Roman"/>
          <w:sz w:val="24"/>
        </w:rPr>
        <w:t>8.1.  Наличие форс-мажорных обстоятельств у одной из “СТОРОН”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указов Президента РФ и постановлений Правительства РФ, изменений в текущем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 Срок исполнения обязательств сдвигается соразмерно времени, в течение которого будут действовать такие обстоятельства.</w:t>
      </w:r>
    </w:p>
    <w:p>
      <w:pPr>
        <w:pStyle w:val="Style24"/>
        <w:ind w:left="0" w:right="0" w:firstLine="709"/>
        <w:jc w:val="both"/>
        <w:rPr>
          <w:rFonts w:ascii="Times New Roman" w:hAnsi="Times New Roman" w:cs="Times New Roman"/>
          <w:sz w:val="24"/>
        </w:rPr>
      </w:pPr>
      <w:r>
        <w:rPr>
          <w:rFonts w:cs="Times New Roman" w:ascii="Times New Roman" w:hAnsi="Times New Roman"/>
          <w:sz w:val="24"/>
        </w:rPr>
      </w:r>
    </w:p>
    <w:p>
      <w:pPr>
        <w:pStyle w:val="Normal"/>
        <w:ind w:left="0" w:right="0" w:firstLine="709"/>
        <w:jc w:val="both"/>
        <w:rPr/>
      </w:pPr>
      <w:r>
        <w:rPr>
          <w:i/>
          <w:iCs/>
          <w:sz w:val="24"/>
          <w:szCs w:val="24"/>
        </w:rPr>
        <w:t xml:space="preserve">                        </w:t>
      </w:r>
      <w:r>
        <w:rPr>
          <w:sz w:val="24"/>
          <w:szCs w:val="24"/>
        </w:rPr>
        <w:t>9. ПРАВА СТОРОН И ДОПОЛНИТЕЛЬНЫЕ УСЛОВИЯ.</w:t>
      </w:r>
    </w:p>
    <w:p>
      <w:pPr>
        <w:pStyle w:val="Normal"/>
        <w:ind w:left="0" w:right="0" w:firstLine="709"/>
        <w:jc w:val="both"/>
        <w:rPr/>
      </w:pPr>
      <w:r>
        <w:rPr>
          <w:sz w:val="24"/>
          <w:szCs w:val="24"/>
        </w:rPr>
        <w:t>9.1. В случае невозможности оказания ИСПОЛНИТЕЛЕМ предусмотренных настоящим договором услуг, возникшей по вине ЗАКАЗЧИКА, ИСПОЛНИТЕЛЬ  вправе потребовать оплаты услуг в полном объеме за время вынужденного невыполнения услуг по настоящему договору.</w:t>
      </w:r>
    </w:p>
    <w:p>
      <w:pPr>
        <w:pStyle w:val="Normal"/>
        <w:jc w:val="both"/>
        <w:rPr>
          <w:sz w:val="24"/>
          <w:szCs w:val="24"/>
        </w:rPr>
      </w:pPr>
      <w:r>
        <w:rPr>
          <w:sz w:val="24"/>
          <w:szCs w:val="24"/>
        </w:rPr>
      </w:r>
    </w:p>
    <w:p>
      <w:pPr>
        <w:pStyle w:val="Normal"/>
        <w:ind w:left="0" w:right="0" w:firstLine="709"/>
        <w:jc w:val="center"/>
        <w:rPr/>
      </w:pPr>
      <w:r>
        <w:rPr>
          <w:sz w:val="24"/>
          <w:szCs w:val="24"/>
        </w:rPr>
        <w:t>10. СРОК ДЕЙСТВИЯ ДОГОВОРА.</w:t>
      </w:r>
    </w:p>
    <w:p>
      <w:pPr>
        <w:pStyle w:val="Normal"/>
        <w:ind w:left="0" w:right="0" w:firstLine="709"/>
        <w:jc w:val="both"/>
        <w:rPr/>
      </w:pPr>
      <w:r>
        <w:rPr>
          <w:sz w:val="24"/>
          <w:szCs w:val="24"/>
        </w:rPr>
        <w:t xml:space="preserve">                                 </w:t>
      </w:r>
      <w:r>
        <w:rPr>
          <w:sz w:val="24"/>
          <w:szCs w:val="24"/>
        </w:rPr>
        <w:t>ОСНОВАНИЯ ИЗМЕНЕНИЯ И РАСТОРЖЕНИЯ ДОГОВОРА.</w:t>
      </w:r>
    </w:p>
    <w:p>
      <w:pPr>
        <w:pStyle w:val="Style23"/>
        <w:rPr>
          <w:sz w:val="24"/>
          <w:szCs w:val="24"/>
        </w:rPr>
      </w:pPr>
      <w:r>
        <w:rPr>
          <w:sz w:val="24"/>
          <w:szCs w:val="24"/>
        </w:rPr>
        <w:t>10.1. Настоящий договор вступает в силу с момента его подписания уполномоченными представителями «СТОРОН» и заключается «СТОРОНАМИ» сроком на один год. Если за 1 месяц до окончания срока действия договора ни одна из СТОРОН не заявит о его расторжении, договор считается пролонгированным на тот же срок. Количество пролонгаций не ограничено.</w:t>
      </w:r>
    </w:p>
    <w:p>
      <w:pPr>
        <w:pStyle w:val="Normal"/>
        <w:ind w:left="0" w:right="0" w:firstLine="709"/>
        <w:jc w:val="both"/>
        <w:rPr/>
      </w:pPr>
      <w:r>
        <w:rPr>
          <w:sz w:val="24"/>
          <w:szCs w:val="24"/>
        </w:rPr>
        <w:t xml:space="preserve">10.2. Вносимые дополнения и изменения в договор, рассматриваются СТОРОНАМИ и оформляются дополнительным соглашением. В случаях возникновения необходимости внести дополнения и изменения в Приложение к договору оформляется и подписывается новое Приложение, которое становится его неотъемлемой частью без оформления дополнительного соглашения к договору. </w:t>
      </w:r>
    </w:p>
    <w:p>
      <w:pPr>
        <w:pStyle w:val="Normal"/>
        <w:ind w:left="0" w:right="0" w:firstLine="709"/>
        <w:jc w:val="both"/>
        <w:rPr/>
      </w:pPr>
      <w:r>
        <w:rPr>
          <w:sz w:val="24"/>
          <w:szCs w:val="24"/>
        </w:rPr>
        <w:t xml:space="preserve">10.3. Сумма договора может быть изменена ИСПОЛНИТЕЛЕМ  в связи с изменением тарифов на оказываемые ИСПОЛНИТЕЛЕМ услуги по настоящему договору по письменному согласованию с ЗАКАЗЧИКОМ на основании действующего гражданского законодательства. </w:t>
      </w:r>
    </w:p>
    <w:p>
      <w:pPr>
        <w:pStyle w:val="Normal"/>
        <w:ind w:left="0" w:right="0" w:firstLine="709"/>
        <w:jc w:val="both"/>
        <w:rPr/>
      </w:pPr>
      <w:r>
        <w:rPr>
          <w:sz w:val="24"/>
          <w:szCs w:val="24"/>
        </w:rPr>
        <w:t>Если по истечению 10 календарных дней с момента письменного уведомления ИСПОЛНИТЕЛЕМ ЗАКАЗЧИКА об изменении тарифов последний продолжает пользоваться услугами, предоставляемыми ИСПОЛНИТЕЛЕМ в соответствии с настоящим договором, то новый тариф считается принятым ЗАКАЗЧИКОМ. В случае несогласия ЗАКАЗЧИКА с новыми тарифами, он письменно, в срок не более 10 календарных дней с момента получения письменного уведомления об изменении тарифов, обязан уведомить об этом ИСПОЛНИТЕЛЯ.</w:t>
      </w:r>
    </w:p>
    <w:p>
      <w:pPr>
        <w:pStyle w:val="Normal"/>
        <w:ind w:left="0" w:right="0" w:firstLine="709"/>
        <w:jc w:val="both"/>
        <w:rPr/>
      </w:pPr>
      <w:r>
        <w:rPr>
          <w:sz w:val="24"/>
          <w:szCs w:val="24"/>
        </w:rPr>
        <w:t xml:space="preserve">10.4. При прекращении договора до истечения срока его действия ЗАКАЗЧИК обязан предупредить об этом ИСПОЛНИТЕЛЯ не менее чем за 1 месяц. </w:t>
      </w:r>
    </w:p>
    <w:p>
      <w:pPr>
        <w:pStyle w:val="Style23"/>
        <w:rPr/>
      </w:pPr>
      <w:r>
        <w:rPr>
          <w:szCs w:val="24"/>
        </w:rPr>
        <w:t xml:space="preserve">10.5. ИСПОЛНИТЕЛЬ имеет  право в одностороннем порядке расторгнуть настоящий договор или временно прекратить исполнение обязательств по нему в случаях невыполнения ЗАКАЗЧИКОМ  в установленные сроки обязательств или предписаний ИСПОЛНИТЕЛЯ, указанных в акте обследования, а также при невыполнении п. 5.2. договора, включая случаи отказа ЗАКАЗЧИКА от перезаключения договора по новым тарифам. </w:t>
      </w:r>
    </w:p>
    <w:p>
      <w:pPr>
        <w:pStyle w:val="Style23"/>
        <w:rPr/>
      </w:pPr>
      <w:r>
        <w:rPr>
          <w:szCs w:val="24"/>
        </w:rPr>
        <w:t>10.6. ИСПОЛНИТЕЛЬ вправе временно приостановить предоставление услуг по настоящему договору, при получении информации от ЗАКАЗЧИКА о наличии спора о праве собственности и управления имуществом, находящимся во владении ЗАКАЗЧИКА и являющимся Объектом по настоящему договору, до момента разрешения спора в предусмотренном законом порядке.</w:t>
      </w:r>
    </w:p>
    <w:p>
      <w:pPr>
        <w:pStyle w:val="Normal"/>
        <w:ind w:left="0" w:right="0" w:firstLine="709"/>
        <w:jc w:val="both"/>
        <w:rPr/>
      </w:pPr>
      <w:r>
        <w:rPr>
          <w:sz w:val="24"/>
          <w:szCs w:val="24"/>
        </w:rPr>
        <w:t>10.7.  По всем вопросам, не урегулированным настоящим договором, стороны руководствуются действующим законодательством Российской Федерации. Все споры между сторонами, по которым не достигнуто соглашение, разрешаются в соответствии                с законодательством Российской Федерации в Арбитражном суде Республики Мордовия.</w:t>
      </w:r>
    </w:p>
    <w:p>
      <w:pPr>
        <w:pStyle w:val="Normal"/>
        <w:ind w:left="0" w:right="0" w:firstLine="709"/>
        <w:jc w:val="both"/>
        <w:rPr>
          <w:sz w:val="24"/>
          <w:szCs w:val="24"/>
        </w:rPr>
      </w:pPr>
      <w:r>
        <w:rPr>
          <w:sz w:val="24"/>
          <w:szCs w:val="24"/>
        </w:rPr>
        <w:t>10.8. Договор с приложением составлен в двух экземплярах, один находится                     у ИСПОЛНИТЕЛЯ,  второй у ЗАКАЗЧИКА.</w:t>
      </w:r>
    </w:p>
    <w:p>
      <w:pPr>
        <w:pStyle w:val="Normal"/>
        <w:ind w:left="0" w:right="0" w:firstLine="709"/>
        <w:jc w:val="both"/>
        <w:rPr/>
      </w:pPr>
      <w:r>
        <w:rPr/>
      </w:r>
    </w:p>
    <w:p>
      <w:pPr>
        <w:pStyle w:val="Normal"/>
        <w:rPr/>
      </w:pPr>
      <w:r>
        <w:rPr>
          <w:sz w:val="24"/>
          <w:szCs w:val="24"/>
        </w:rPr>
        <w:t>ПРИЛОЖЕНИЕ № 1: Перечень охраняемых объектов.</w:t>
      </w:r>
    </w:p>
    <w:p>
      <w:pPr>
        <w:pStyle w:val="Style24"/>
        <w:rPr>
          <w:rFonts w:ascii="Times New Roman" w:hAnsi="Times New Roman" w:cs="Times New Roman"/>
          <w:sz w:val="24"/>
          <w:szCs w:val="24"/>
        </w:rPr>
      </w:pPr>
      <w:r>
        <w:rPr>
          <w:rFonts w:cs="Times New Roman" w:ascii="Times New Roman" w:hAnsi="Times New Roman"/>
          <w:sz w:val="24"/>
          <w:szCs w:val="24"/>
        </w:rPr>
      </w:r>
    </w:p>
    <w:p>
      <w:pPr>
        <w:pStyle w:val="Style24"/>
        <w:jc w:val="center"/>
        <w:rPr/>
      </w:pPr>
      <w:r>
        <w:rPr>
          <w:rFonts w:cs="Times New Roman" w:ascii="Times New Roman" w:hAnsi="Times New Roman"/>
          <w:sz w:val="24"/>
        </w:rPr>
        <w:t xml:space="preserve">11. ЮРИДИЧЕСКИЕ АДРЕСА, ФАКТИЧЕСКОЕ МЕСТОНАХОЖДЕНИЕ, </w:t>
      </w:r>
    </w:p>
    <w:p>
      <w:pPr>
        <w:pStyle w:val="Style24"/>
        <w:jc w:val="center"/>
        <w:rPr/>
      </w:pPr>
      <w:r>
        <w:rPr>
          <w:rFonts w:cs="Times New Roman" w:ascii="Times New Roman" w:hAnsi="Times New Roman"/>
          <w:sz w:val="24"/>
        </w:rPr>
        <w:t>БАНКОВСКИЕ РЕКВИЗИТЫ И ПОДПИСИ СТОРОН.</w:t>
      </w:r>
    </w:p>
    <w:p>
      <w:pPr>
        <w:pStyle w:val="Normal"/>
        <w:rPr/>
      </w:pPr>
      <w:r>
        <w:rPr>
          <w:sz w:val="22"/>
          <w:szCs w:val="22"/>
        </w:rPr>
        <w:t xml:space="preserve">    </w:t>
      </w:r>
    </w:p>
    <w:p>
      <w:pPr>
        <w:pStyle w:val="Normal"/>
        <w:rPr/>
      </w:pPr>
      <w:r>
        <w:rPr>
          <w:sz w:val="22"/>
          <w:szCs w:val="22"/>
        </w:rPr>
        <w:t>«ЗАКАЗЧИК»             ________________________________________________________________</w:t>
      </w:r>
    </w:p>
    <w:p>
      <w:pPr>
        <w:pStyle w:val="Normal"/>
        <w:rPr/>
      </w:pPr>
      <w:r>
        <w:rPr>
          <w:sz w:val="22"/>
          <w:szCs w:val="22"/>
        </w:rPr>
        <w:t xml:space="preserve">                                     </w:t>
      </w:r>
      <w:r>
        <w:rPr>
          <w:sz w:val="22"/>
          <w:szCs w:val="22"/>
        </w:rPr>
        <w:t>________________________________________________________________</w:t>
      </w:r>
    </w:p>
    <w:p>
      <w:pPr>
        <w:pStyle w:val="Normal"/>
        <w:rPr/>
      </w:pPr>
      <w:r>
        <w:rPr>
          <w:sz w:val="22"/>
          <w:szCs w:val="22"/>
        </w:rPr>
        <w:t xml:space="preserve">                                     </w:t>
      </w:r>
      <w:r>
        <w:rPr>
          <w:sz w:val="22"/>
          <w:szCs w:val="22"/>
        </w:rPr>
        <w:t>________________________________________________________________</w:t>
      </w:r>
    </w:p>
    <w:p>
      <w:pPr>
        <w:pStyle w:val="Normal"/>
        <w:rPr/>
      </w:pPr>
      <w:r>
        <w:rPr>
          <w:sz w:val="22"/>
          <w:szCs w:val="22"/>
        </w:rPr>
        <w:t xml:space="preserve">                                     </w:t>
      </w:r>
      <w:r>
        <w:rPr>
          <w:sz w:val="22"/>
          <w:szCs w:val="22"/>
        </w:rPr>
        <w:t>________________________________________________________________</w:t>
      </w:r>
    </w:p>
    <w:p>
      <w:pPr>
        <w:pStyle w:val="Normal"/>
        <w:rPr/>
      </w:pPr>
      <w:r>
        <w:rPr>
          <w:sz w:val="22"/>
          <w:szCs w:val="22"/>
        </w:rPr>
        <w:t xml:space="preserve">                                     </w:t>
      </w:r>
      <w:r>
        <w:rPr>
          <w:sz w:val="22"/>
          <w:szCs w:val="22"/>
        </w:rPr>
        <w:t>________________________________________________________________</w:t>
      </w:r>
    </w:p>
    <w:p>
      <w:pPr>
        <w:pStyle w:val="Normal"/>
        <w:rPr>
          <w:sz w:val="22"/>
          <w:szCs w:val="22"/>
        </w:rPr>
      </w:pPr>
      <w:r>
        <w:rPr>
          <w:sz w:val="22"/>
          <w:szCs w:val="22"/>
        </w:rPr>
      </w:r>
    </w:p>
    <w:p>
      <w:pPr>
        <w:pStyle w:val="Normal"/>
        <w:rPr/>
      </w:pPr>
      <w:r>
        <w:rPr>
          <w:sz w:val="22"/>
          <w:szCs w:val="22"/>
        </w:rPr>
        <w:t>«ИСПОЛНИТЕЛЬ»   ________________________________________________________________</w:t>
      </w:r>
    </w:p>
    <w:p>
      <w:pPr>
        <w:pStyle w:val="Normal"/>
        <w:rPr/>
      </w:pPr>
      <w:r>
        <w:rPr>
          <w:sz w:val="22"/>
          <w:szCs w:val="22"/>
        </w:rPr>
        <w:t xml:space="preserve">                                    </w:t>
      </w:r>
      <w:r>
        <w:rPr>
          <w:sz w:val="22"/>
          <w:szCs w:val="22"/>
        </w:rPr>
        <w:t>_________________________________________________________________</w:t>
      </w:r>
    </w:p>
    <w:p>
      <w:pPr>
        <w:pStyle w:val="Normal"/>
        <w:rPr/>
      </w:pPr>
      <w:r>
        <w:rPr>
          <w:sz w:val="22"/>
          <w:szCs w:val="22"/>
        </w:rPr>
        <w:t xml:space="preserve">                                    </w:t>
      </w:r>
      <w:r>
        <w:rPr>
          <w:sz w:val="22"/>
          <w:szCs w:val="22"/>
        </w:rPr>
        <w:t>_________________________________________________________________</w:t>
      </w:r>
    </w:p>
    <w:p>
      <w:pPr>
        <w:pStyle w:val="Normal"/>
        <w:rPr/>
      </w:pPr>
      <w:r>
        <w:rPr>
          <w:sz w:val="22"/>
          <w:szCs w:val="22"/>
        </w:rPr>
        <w:t xml:space="preserve">                                    </w:t>
      </w:r>
      <w:r>
        <w:rPr>
          <w:sz w:val="22"/>
          <w:szCs w:val="22"/>
        </w:rPr>
        <w:t>_________________________________________________________________</w:t>
      </w:r>
    </w:p>
    <w:p>
      <w:pPr>
        <w:pStyle w:val="Normal"/>
        <w:rPr/>
      </w:pPr>
      <w:r>
        <w:rPr>
          <w:sz w:val="22"/>
          <w:szCs w:val="22"/>
        </w:rPr>
        <w:t xml:space="preserve">                                    </w:t>
      </w:r>
      <w:r>
        <w:rPr>
          <w:sz w:val="22"/>
          <w:szCs w:val="22"/>
        </w:rPr>
        <w:t>_________________________________________________________________</w:t>
      </w:r>
    </w:p>
    <w:p>
      <w:pPr>
        <w:pStyle w:val="Normal"/>
        <w:rPr/>
      </w:pPr>
      <w:r>
        <w:rPr/>
      </w:r>
    </w:p>
    <w:p>
      <w:pPr>
        <w:pStyle w:val="Normal"/>
        <w:rPr/>
      </w:pPr>
      <w:r>
        <w:rPr/>
      </w:r>
    </w:p>
    <w:p>
      <w:pPr>
        <w:pStyle w:val="Normal"/>
        <w:rPr/>
      </w:pPr>
      <w:r>
        <w:rPr/>
      </w:r>
    </w:p>
    <w:p>
      <w:pPr>
        <w:pStyle w:val="Normal"/>
        <w:rPr/>
      </w:pPr>
      <w:r>
        <w:rPr>
          <w:sz w:val="22"/>
          <w:szCs w:val="22"/>
        </w:rPr>
        <w:t xml:space="preserve">                 </w:t>
      </w:r>
    </w:p>
    <w:p>
      <w:pPr>
        <w:pStyle w:val="22"/>
        <w:ind w:left="0" w:right="0" w:hanging="0"/>
        <w:rPr/>
      </w:pPr>
      <w:r>
        <w:rPr>
          <w:sz w:val="22"/>
          <w:szCs w:val="22"/>
        </w:rPr>
        <w:t xml:space="preserve">      </w:t>
      </w:r>
      <w:r>
        <w:rPr>
          <w:sz w:val="22"/>
          <w:szCs w:val="22"/>
        </w:rPr>
        <w:t>«ИСПОЛНИТЕЛЬ»                                                         «ЗАКАЗЧИК»</w:t>
      </w:r>
    </w:p>
    <w:p>
      <w:pPr>
        <w:pStyle w:val="22"/>
        <w:ind w:left="0" w:right="0" w:hanging="0"/>
        <w:rPr/>
      </w:pPr>
      <w:r>
        <w:rPr>
          <w:sz w:val="22"/>
          <w:szCs w:val="22"/>
        </w:rPr>
        <w:t xml:space="preserve">                                             </w:t>
      </w:r>
    </w:p>
    <w:p>
      <w:pPr>
        <w:pStyle w:val="22"/>
        <w:ind w:left="0" w:right="0" w:hanging="0"/>
        <w:rPr>
          <w:sz w:val="22"/>
          <w:szCs w:val="22"/>
        </w:rPr>
      </w:pPr>
      <w:r>
        <w:rPr>
          <w:sz w:val="22"/>
          <w:szCs w:val="22"/>
        </w:rPr>
      </w:r>
    </w:p>
    <w:p>
      <w:pPr>
        <w:pStyle w:val="22"/>
        <w:ind w:left="0" w:right="0" w:hanging="0"/>
        <w:rPr>
          <w:sz w:val="22"/>
          <w:szCs w:val="22"/>
        </w:rPr>
      </w:pPr>
      <w:r>
        <w:rPr>
          <w:sz w:val="22"/>
          <w:szCs w:val="22"/>
        </w:rPr>
      </w:r>
    </w:p>
    <w:p>
      <w:pPr>
        <w:pStyle w:val="22"/>
        <w:ind w:left="0" w:right="0" w:hanging="0"/>
        <w:rPr/>
      </w:pPr>
      <w:r>
        <w:rPr>
          <w:sz w:val="22"/>
          <w:szCs w:val="22"/>
        </w:rPr>
        <w:t xml:space="preserve">         </w:t>
      </w:r>
    </w:p>
    <w:p>
      <w:pPr>
        <w:pStyle w:val="22"/>
        <w:rPr>
          <w:sz w:val="22"/>
          <w:szCs w:val="22"/>
        </w:rPr>
      </w:pPr>
      <w:r>
        <w:rPr>
          <w:sz w:val="22"/>
          <w:szCs w:val="22"/>
        </w:rPr>
      </w:r>
    </w:p>
    <w:p>
      <w:pPr>
        <w:pStyle w:val="22"/>
        <w:ind w:left="0" w:right="0" w:hanging="0"/>
        <w:rPr/>
      </w:pPr>
      <w:r>
        <w:rPr>
          <w:sz w:val="22"/>
          <w:szCs w:val="22"/>
        </w:rPr>
        <w:tab/>
        <w:tab/>
        <w:tab/>
        <w:tab/>
        <w:tab/>
        <w:tab/>
        <w:t xml:space="preserve">   </w:t>
        <w:tab/>
        <w:tab/>
        <w:tab/>
        <w:tab/>
        <w:tab/>
        <w:t>_________________ _______________                      ___________________ _______________</w:t>
      </w:r>
    </w:p>
    <w:p>
      <w:pPr>
        <w:pStyle w:val="22"/>
        <w:tabs>
          <w:tab w:val="clear" w:pos="708"/>
          <w:tab w:val="center" w:pos="5141" w:leader="none"/>
        </w:tabs>
        <w:rPr/>
      </w:pPr>
      <w:r>
        <w:rPr>
          <w:sz w:val="22"/>
          <w:szCs w:val="22"/>
        </w:rPr>
        <w:t>М.П.</w:t>
        <w:tab/>
        <w:t xml:space="preserve">             М.П.</w:t>
      </w:r>
    </w:p>
    <w:p>
      <w:pPr>
        <w:pStyle w:val="22"/>
        <w:rPr>
          <w:sz w:val="22"/>
          <w:szCs w:val="22"/>
        </w:rPr>
      </w:pPr>
      <w:r>
        <w:rPr>
          <w:sz w:val="22"/>
          <w:szCs w:val="22"/>
        </w:rPr>
        <w:t xml:space="preserve"> </w:t>
      </w:r>
    </w:p>
    <w:p>
      <w:pPr>
        <w:pStyle w:val="22"/>
        <w:rPr>
          <w:sz w:val="22"/>
          <w:szCs w:val="22"/>
        </w:rPr>
      </w:pPr>
      <w:r>
        <w:rPr>
          <w:sz w:val="22"/>
          <w:szCs w:val="22"/>
        </w:rPr>
      </w:r>
    </w:p>
    <w:p>
      <w:pPr>
        <w:pStyle w:val="22"/>
        <w:rPr>
          <w:sz w:val="22"/>
          <w:szCs w:val="22"/>
        </w:rPr>
      </w:pPr>
      <w:r>
        <w:rPr>
          <w:sz w:val="22"/>
          <w:szCs w:val="22"/>
        </w:rPr>
      </w:r>
    </w:p>
    <w:p>
      <w:pPr>
        <w:pStyle w:val="22"/>
        <w:rPr>
          <w:sz w:val="22"/>
          <w:szCs w:val="22"/>
        </w:rPr>
      </w:pPr>
      <w:r>
        <w:rPr>
          <w:sz w:val="22"/>
          <w:szCs w:val="22"/>
        </w:rPr>
      </w:r>
    </w:p>
    <w:p>
      <w:pPr>
        <w:pStyle w:val="22"/>
        <w:rPr>
          <w:sz w:val="22"/>
          <w:szCs w:val="22"/>
        </w:rPr>
      </w:pPr>
      <w:r>
        <w:rPr>
          <w:sz w:val="22"/>
          <w:szCs w:val="22"/>
        </w:rPr>
      </w:r>
    </w:p>
    <w:p>
      <w:pPr>
        <w:sectPr>
          <w:headerReference w:type="default" r:id="rId3"/>
          <w:type w:val="nextPage"/>
          <w:pgSz w:w="11906" w:h="16838"/>
          <w:pgMar w:left="1701" w:right="567" w:header="720" w:top="1134" w:footer="0" w:bottom="1134" w:gutter="0"/>
          <w:pgNumType w:fmt="decimal"/>
          <w:formProt w:val="false"/>
          <w:textDirection w:val="lrTb"/>
          <w:docGrid w:type="default" w:linePitch="360" w:charSpace="0"/>
        </w:sectPr>
        <w:pStyle w:val="22"/>
        <w:rPr>
          <w:sz w:val="22"/>
          <w:szCs w:val="22"/>
        </w:rPr>
      </w:pPr>
      <w:r>
        <w:rPr>
          <w:sz w:val="22"/>
          <w:szCs w:val="22"/>
        </w:rPr>
      </w:r>
    </w:p>
    <w:p>
      <w:pPr>
        <w:pStyle w:val="Style11"/>
        <w:ind w:left="8647" w:right="0" w:hanging="0"/>
        <w:jc w:val="both"/>
        <w:rPr>
          <w:rFonts w:ascii="Times New Roman" w:hAnsi="Times New Roman"/>
        </w:rPr>
      </w:pPr>
      <w:r>
        <w:rPr>
          <w:rFonts w:ascii="Times New Roman" w:hAnsi="Times New Roman"/>
          <w:b w:val="false"/>
          <w:sz w:val="20"/>
        </w:rPr>
        <w:t>Приложение № 1</w:t>
      </w:r>
    </w:p>
    <w:p>
      <w:pPr>
        <w:pStyle w:val="Style11"/>
        <w:tabs>
          <w:tab w:val="clear" w:pos="708"/>
          <w:tab w:val="left" w:pos="5103" w:leader="none"/>
        </w:tabs>
        <w:ind w:left="8647" w:right="0" w:hanging="0"/>
        <w:jc w:val="both"/>
        <w:rPr>
          <w:rFonts w:ascii="Times New Roman" w:hAnsi="Times New Roman"/>
        </w:rPr>
      </w:pPr>
      <w:r>
        <w:rPr>
          <w:rFonts w:ascii="Times New Roman" w:hAnsi="Times New Roman"/>
          <w:b w:val="false"/>
          <w:sz w:val="20"/>
        </w:rPr>
        <w:t>к договору от  «___» ________________202_____ г. № _________</w:t>
      </w:r>
    </w:p>
    <w:p>
      <w:pPr>
        <w:pStyle w:val="Style12"/>
        <w:tabs>
          <w:tab w:val="clear" w:pos="708"/>
          <w:tab w:val="left" w:pos="5103" w:leader="none"/>
        </w:tabs>
        <w:ind w:left="8647" w:right="0" w:hanging="0"/>
        <w:jc w:val="both"/>
        <w:rPr>
          <w:rFonts w:ascii="Times New Roman" w:hAnsi="Times New Roman"/>
          <w:b w:val="false"/>
          <w:b w:val="false"/>
          <w:sz w:val="20"/>
        </w:rPr>
      </w:pPr>
      <w:r>
        <w:rPr>
          <w:b w:val="false"/>
          <w:sz w:val="20"/>
        </w:rPr>
      </w:r>
    </w:p>
    <w:p>
      <w:pPr>
        <w:pStyle w:val="Style11"/>
        <w:rPr>
          <w:b w:val="false"/>
          <w:b w:val="false"/>
          <w:sz w:val="20"/>
        </w:rPr>
      </w:pPr>
      <w:r>
        <w:rPr>
          <w:b w:val="false"/>
          <w:sz w:val="20"/>
        </w:rPr>
      </w:r>
    </w:p>
    <w:p>
      <w:pPr>
        <w:pStyle w:val="Style11"/>
        <w:jc w:val="center"/>
        <w:rPr>
          <w:rFonts w:ascii="Times New Roman" w:hAnsi="Times New Roman"/>
        </w:rPr>
      </w:pPr>
      <w:r>
        <w:rPr>
          <w:rFonts w:ascii="Times New Roman" w:hAnsi="Times New Roman"/>
          <w:b w:val="false"/>
        </w:rPr>
        <w:t xml:space="preserve">ПЕРЕЧЕНЬ ОХРАНЯЕМЫХ ОБЪЕКТОВ </w:t>
      </w:r>
    </w:p>
    <w:p>
      <w:pPr>
        <w:pStyle w:val="Style11"/>
        <w:jc w:val="center"/>
        <w:rPr>
          <w:rFonts w:ascii="Times New Roman" w:hAnsi="Times New Roman"/>
        </w:rPr>
      </w:pPr>
      <w:r>
        <w:rPr>
          <w:rFonts w:ascii="Times New Roman" w:hAnsi="Times New Roman"/>
          <w:b w:val="false"/>
        </w:rPr>
        <w:t xml:space="preserve"> </w:t>
      </w:r>
      <w:r>
        <w:rPr>
          <w:rFonts w:ascii="Times New Roman" w:hAnsi="Times New Roman"/>
          <w:b w:val="false"/>
        </w:rPr>
        <w:t>с «___» ________________ 202____ г.</w:t>
      </w:r>
    </w:p>
    <w:p>
      <w:pPr>
        <w:pStyle w:val="Style12"/>
        <w:rPr>
          <w:b w:val="false"/>
          <w:b w:val="false"/>
        </w:rPr>
      </w:pPr>
      <w:r>
        <w:rPr>
          <w:b w:val="false"/>
        </w:rPr>
      </w:r>
    </w:p>
    <w:tbl>
      <w:tblPr>
        <w:tblW w:w="15009" w:type="dxa"/>
        <w:jc w:val="left"/>
        <w:tblInd w:w="-178" w:type="dxa"/>
        <w:tblCellMar>
          <w:top w:w="0" w:type="dxa"/>
          <w:left w:w="108" w:type="dxa"/>
          <w:bottom w:w="0" w:type="dxa"/>
          <w:right w:w="108" w:type="dxa"/>
        </w:tblCellMar>
        <w:tblLook w:val="04a0" w:noVBand="1" w:noHBand="0" w:lastColumn="0" w:firstColumn="1" w:lastRow="0" w:firstRow="1"/>
      </w:tblPr>
      <w:tblGrid>
        <w:gridCol w:w="391"/>
        <w:gridCol w:w="2363"/>
        <w:gridCol w:w="2407"/>
        <w:gridCol w:w="1466"/>
        <w:gridCol w:w="1702"/>
        <w:gridCol w:w="1709"/>
        <w:gridCol w:w="1292"/>
        <w:gridCol w:w="1417"/>
        <w:gridCol w:w="1274"/>
        <w:gridCol w:w="986"/>
      </w:tblGrid>
      <w:tr>
        <w:trPr>
          <w:cantSplit w:val="true"/>
        </w:trPr>
        <w:tc>
          <w:tcPr>
            <w:tcW w:w="391" w:type="dxa"/>
            <w:vMerge w:val="restart"/>
            <w:tcBorders>
              <w:top w:val="single" w:sz="4" w:space="0" w:color="000000"/>
              <w:left w:val="single" w:sz="4" w:space="0" w:color="000000"/>
              <w:bottom w:val="single" w:sz="4" w:space="0" w:color="000000"/>
            </w:tcBorders>
            <w:vAlign w:val="center"/>
          </w:tcPr>
          <w:p>
            <w:pPr>
              <w:pStyle w:val="Normal"/>
              <w:ind w:left="0" w:right="-108" w:hanging="0"/>
              <w:jc w:val="center"/>
              <w:rPr>
                <w:sz w:val="22"/>
                <w:szCs w:val="22"/>
              </w:rPr>
            </w:pPr>
            <w:r>
              <w:rPr>
                <w:sz w:val="20"/>
              </w:rPr>
              <w:t xml:space="preserve">№ </w:t>
            </w:r>
            <w:r>
              <w:rPr>
                <w:sz w:val="20"/>
              </w:rPr>
              <w:t>п/п</w:t>
            </w:r>
          </w:p>
        </w:tc>
        <w:tc>
          <w:tcPr>
            <w:tcW w:w="2363" w:type="dxa"/>
            <w:vMerge w:val="restart"/>
            <w:tcBorders>
              <w:top w:val="single" w:sz="4" w:space="0" w:color="000000"/>
              <w:left w:val="single" w:sz="4" w:space="0" w:color="000000"/>
              <w:bottom w:val="single" w:sz="4" w:space="0" w:color="000000"/>
            </w:tcBorders>
            <w:vAlign w:val="center"/>
          </w:tcPr>
          <w:p>
            <w:pPr>
              <w:pStyle w:val="Normal"/>
              <w:ind w:left="0" w:right="-108" w:hanging="0"/>
              <w:jc w:val="center"/>
              <w:rPr>
                <w:sz w:val="22"/>
                <w:szCs w:val="22"/>
              </w:rPr>
            </w:pPr>
            <w:r>
              <w:rPr>
                <w:sz w:val="20"/>
              </w:rPr>
              <w:t>Наименование объекта и обособленных помещений</w:t>
            </w:r>
          </w:p>
        </w:tc>
        <w:tc>
          <w:tcPr>
            <w:tcW w:w="2407" w:type="dxa"/>
            <w:vMerge w:val="restart"/>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Адрес</w:t>
            </w:r>
          </w:p>
        </w:tc>
        <w:tc>
          <w:tcPr>
            <w:tcW w:w="1466" w:type="dxa"/>
            <w:vMerge w:val="restart"/>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Вид охраны</w:t>
            </w:r>
          </w:p>
        </w:tc>
        <w:tc>
          <w:tcPr>
            <w:tcW w:w="3411" w:type="dxa"/>
            <w:gridSpan w:val="2"/>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Часы охраны</w:t>
            </w:r>
          </w:p>
        </w:tc>
        <w:tc>
          <w:tcPr>
            <w:tcW w:w="1292" w:type="dxa"/>
            <w:vMerge w:val="restart"/>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Всего часов охраны в месяц</w:t>
            </w:r>
          </w:p>
        </w:tc>
        <w:tc>
          <w:tcPr>
            <w:tcW w:w="1417" w:type="dxa"/>
            <w:vMerge w:val="restart"/>
            <w:tcBorders>
              <w:top w:val="single" w:sz="4" w:space="0" w:color="000000"/>
              <w:left w:val="single" w:sz="4" w:space="0" w:color="000000"/>
              <w:bottom w:val="single" w:sz="4" w:space="0" w:color="000000"/>
            </w:tcBorders>
            <w:vAlign w:val="center"/>
          </w:tcPr>
          <w:p>
            <w:pPr>
              <w:pStyle w:val="Normal"/>
              <w:ind w:left="0" w:right="-108" w:hanging="0"/>
              <w:jc w:val="center"/>
              <w:rPr>
                <w:sz w:val="22"/>
                <w:szCs w:val="22"/>
              </w:rPr>
            </w:pPr>
            <w:r>
              <w:rPr>
                <w:sz w:val="20"/>
              </w:rPr>
              <w:t>Взимаемая  плата за 1 час охраны (согласно тарифа, руб.)</w:t>
            </w:r>
          </w:p>
        </w:tc>
        <w:tc>
          <w:tcPr>
            <w:tcW w:w="1274" w:type="dxa"/>
            <w:vMerge w:val="restart"/>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Взимаемая плата за охрану в месяц</w:t>
            </w:r>
          </w:p>
          <w:p>
            <w:pPr>
              <w:pStyle w:val="Normal"/>
              <w:jc w:val="center"/>
              <w:rPr>
                <w:sz w:val="22"/>
                <w:szCs w:val="22"/>
              </w:rPr>
            </w:pPr>
            <w:r>
              <w:rPr>
                <w:sz w:val="20"/>
              </w:rPr>
              <w:t>(руб.)</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sz w:val="22"/>
                <w:szCs w:val="22"/>
              </w:rPr>
            </w:pPr>
            <w:r>
              <w:rPr>
                <w:sz w:val="20"/>
              </w:rPr>
              <w:t>Примечание</w:t>
            </w:r>
          </w:p>
        </w:tc>
      </w:tr>
      <w:tr>
        <w:trPr>
          <w:cantSplit w:val="true"/>
        </w:trPr>
        <w:tc>
          <w:tcPr>
            <w:tcW w:w="391"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2363"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2407"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466"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702" w:type="dxa"/>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В рабочие дни</w:t>
            </w:r>
          </w:p>
        </w:tc>
        <w:tc>
          <w:tcPr>
            <w:tcW w:w="1709" w:type="dxa"/>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В выходные и праздничные дни</w:t>
            </w:r>
          </w:p>
        </w:tc>
        <w:tc>
          <w:tcPr>
            <w:tcW w:w="1292"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417"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274"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98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jc w:val="center"/>
              <w:rPr>
                <w:sz w:val="20"/>
              </w:rPr>
            </w:pPr>
            <w:r>
              <w:rPr>
                <w:sz w:val="20"/>
              </w:rPr>
            </w:r>
          </w:p>
        </w:tc>
      </w:tr>
      <w:tr>
        <w:trPr>
          <w:trHeight w:val="439" w:hRule="atLeast"/>
        </w:trPr>
        <w:tc>
          <w:tcPr>
            <w:tcW w:w="391" w:type="dxa"/>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1</w:t>
            </w:r>
          </w:p>
        </w:tc>
        <w:tc>
          <w:tcPr>
            <w:tcW w:w="2363" w:type="dxa"/>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2</w:t>
            </w:r>
          </w:p>
        </w:tc>
        <w:tc>
          <w:tcPr>
            <w:tcW w:w="2407" w:type="dxa"/>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3</w:t>
            </w:r>
          </w:p>
        </w:tc>
        <w:tc>
          <w:tcPr>
            <w:tcW w:w="1466" w:type="dxa"/>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4</w:t>
            </w:r>
          </w:p>
        </w:tc>
        <w:tc>
          <w:tcPr>
            <w:tcW w:w="1702" w:type="dxa"/>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5</w:t>
            </w:r>
          </w:p>
        </w:tc>
        <w:tc>
          <w:tcPr>
            <w:tcW w:w="1709" w:type="dxa"/>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6</w:t>
            </w:r>
          </w:p>
        </w:tc>
        <w:tc>
          <w:tcPr>
            <w:tcW w:w="1292" w:type="dxa"/>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7</w:t>
            </w:r>
          </w:p>
        </w:tc>
        <w:tc>
          <w:tcPr>
            <w:tcW w:w="1417" w:type="dxa"/>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8</w:t>
            </w:r>
          </w:p>
        </w:tc>
        <w:tc>
          <w:tcPr>
            <w:tcW w:w="1274" w:type="dxa"/>
            <w:tcBorders>
              <w:top w:val="single" w:sz="4" w:space="0" w:color="000000"/>
              <w:left w:val="single" w:sz="4" w:space="0" w:color="000000"/>
              <w:bottom w:val="single" w:sz="4" w:space="0" w:color="000000"/>
            </w:tcBorders>
            <w:vAlign w:val="center"/>
          </w:tcPr>
          <w:p>
            <w:pPr>
              <w:pStyle w:val="Normal"/>
              <w:jc w:val="center"/>
              <w:rPr>
                <w:sz w:val="22"/>
                <w:szCs w:val="22"/>
              </w:rPr>
            </w:pPr>
            <w:r>
              <w:rPr>
                <w:sz w:val="20"/>
              </w:rPr>
              <w:t>9</w:t>
            </w:r>
          </w:p>
        </w:tc>
        <w:tc>
          <w:tcPr>
            <w:tcW w:w="986"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2"/>
                <w:szCs w:val="22"/>
              </w:rPr>
            </w:pPr>
            <w:r>
              <w:rPr>
                <w:sz w:val="20"/>
              </w:rPr>
              <w:t>10</w:t>
            </w:r>
          </w:p>
        </w:tc>
      </w:tr>
      <w:tr>
        <w:trPr>
          <w:trHeight w:val="439" w:hRule="atLeast"/>
        </w:trPr>
        <w:tc>
          <w:tcPr>
            <w:tcW w:w="391" w:type="dxa"/>
            <w:tcBorders>
              <w:top w:val="single" w:sz="4" w:space="0" w:color="000000"/>
              <w:left w:val="single" w:sz="4" w:space="0" w:color="000000"/>
              <w:bottom w:val="single" w:sz="4" w:space="0" w:color="000000"/>
            </w:tcBorders>
            <w:vAlign w:val="center"/>
          </w:tcPr>
          <w:p>
            <w:pPr>
              <w:pStyle w:val="Normal"/>
              <w:jc w:val="center"/>
              <w:rPr>
                <w:sz w:val="22"/>
                <w:szCs w:val="22"/>
              </w:rPr>
            </w:pPr>
            <w:r>
              <w:rPr/>
            </w:r>
          </w:p>
        </w:tc>
        <w:tc>
          <w:tcPr>
            <w:tcW w:w="2363"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2407"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466"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702"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709"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292"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417"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274"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986"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0"/>
              </w:rPr>
            </w:pPr>
            <w:r>
              <w:rPr>
                <w:sz w:val="20"/>
              </w:rPr>
            </w:r>
          </w:p>
        </w:tc>
      </w:tr>
      <w:tr>
        <w:trPr>
          <w:trHeight w:val="304" w:hRule="atLeast"/>
        </w:trPr>
        <w:tc>
          <w:tcPr>
            <w:tcW w:w="12747" w:type="dxa"/>
            <w:gridSpan w:val="8"/>
            <w:tcBorders>
              <w:top w:val="single" w:sz="4" w:space="0" w:color="000000"/>
              <w:left w:val="single" w:sz="4" w:space="0" w:color="000000"/>
              <w:bottom w:val="single" w:sz="4" w:space="0" w:color="000000"/>
            </w:tcBorders>
          </w:tcPr>
          <w:p>
            <w:pPr>
              <w:pStyle w:val="Normal"/>
              <w:rPr>
                <w:sz w:val="22"/>
                <w:szCs w:val="22"/>
              </w:rPr>
            </w:pPr>
            <w:r>
              <w:rPr>
                <w:sz w:val="20"/>
              </w:rPr>
              <w:t xml:space="preserve">                                                                                                                                                                                                    </w:t>
            </w:r>
          </w:p>
        </w:tc>
        <w:tc>
          <w:tcPr>
            <w:tcW w:w="1274" w:type="dxa"/>
            <w:tcBorders>
              <w:top w:val="single" w:sz="4" w:space="0" w:color="000000"/>
              <w:left w:val="single" w:sz="4" w:space="0" w:color="000000"/>
              <w:bottom w:val="single" w:sz="4" w:space="0" w:color="000000"/>
            </w:tcBorders>
          </w:tcPr>
          <w:p>
            <w:pPr>
              <w:pStyle w:val="Normal"/>
              <w:jc w:val="center"/>
              <w:rPr>
                <w:sz w:val="20"/>
              </w:rPr>
            </w:pPr>
            <w:r>
              <w:rPr>
                <w:sz w:val="20"/>
              </w:rPr>
            </w:r>
          </w:p>
        </w:tc>
        <w:tc>
          <w:tcPr>
            <w:tcW w:w="986" w:type="dxa"/>
            <w:tcBorders>
              <w:top w:val="single" w:sz="4" w:space="0" w:color="000000"/>
              <w:left w:val="single" w:sz="4" w:space="0" w:color="000000"/>
              <w:bottom w:val="single" w:sz="4" w:space="0" w:color="000000"/>
              <w:right w:val="single" w:sz="4" w:space="0" w:color="000000"/>
            </w:tcBorders>
          </w:tcPr>
          <w:p>
            <w:pPr>
              <w:pStyle w:val="Normal"/>
              <w:jc w:val="center"/>
              <w:rPr>
                <w:sz w:val="20"/>
              </w:rPr>
            </w:pPr>
            <w:r>
              <w:rPr>
                <w:sz w:val="20"/>
              </w:rPr>
            </w:r>
          </w:p>
        </w:tc>
      </w:tr>
    </w:tbl>
    <w:p>
      <w:pPr>
        <w:pStyle w:val="Normal"/>
        <w:jc w:val="both"/>
        <w:rPr>
          <w:sz w:val="22"/>
          <w:szCs w:val="22"/>
        </w:rPr>
      </w:pPr>
      <w:r>
        <w:rPr>
          <w:sz w:val="22"/>
          <w:szCs w:val="22"/>
        </w:rPr>
      </w:r>
    </w:p>
    <w:p>
      <w:pPr>
        <w:pStyle w:val="Normal"/>
        <w:jc w:val="both"/>
        <w:rPr>
          <w:sz w:val="22"/>
          <w:szCs w:val="22"/>
        </w:rPr>
      </w:pPr>
      <w:r>
        <w:rPr>
          <w:color w:val="000000"/>
          <w:sz w:val="20"/>
        </w:rPr>
        <w:t>Стоимость услуг «ИСПОЛНИТЕЛЯ» в соответствии со ст. 146 Налогового кодекса Российской Федерации не облагается НДС.</w:t>
      </w:r>
    </w:p>
    <w:p>
      <w:pPr>
        <w:pStyle w:val="Normal"/>
        <w:jc w:val="both"/>
        <w:rPr>
          <w:sz w:val="22"/>
          <w:szCs w:val="22"/>
        </w:rPr>
      </w:pPr>
      <w:r>
        <w:rPr/>
        <w:t xml:space="preserve">                                                                                                                                                                                                                                             </w:t>
      </w:r>
    </w:p>
    <w:tbl>
      <w:tblPr>
        <w:tblW w:w="14356" w:type="dxa"/>
        <w:jc w:val="left"/>
        <w:tblInd w:w="-109" w:type="dxa"/>
        <w:tblCellMar>
          <w:top w:w="0" w:type="dxa"/>
          <w:left w:w="108" w:type="dxa"/>
          <w:bottom w:w="0" w:type="dxa"/>
          <w:right w:w="108" w:type="dxa"/>
        </w:tblCellMar>
        <w:tblLook w:val="04a0" w:noVBand="1" w:noHBand="0" w:lastColumn="0" w:firstColumn="1" w:lastRow="0" w:firstRow="1"/>
      </w:tblPr>
      <w:tblGrid>
        <w:gridCol w:w="7178"/>
        <w:gridCol w:w="7177"/>
      </w:tblGrid>
      <w:tr>
        <w:trPr/>
        <w:tc>
          <w:tcPr>
            <w:tcW w:w="7178" w:type="dxa"/>
            <w:tcBorders/>
          </w:tcPr>
          <w:p>
            <w:pPr>
              <w:pStyle w:val="Normal"/>
              <w:jc w:val="both"/>
              <w:rPr>
                <w:sz w:val="22"/>
                <w:szCs w:val="22"/>
              </w:rPr>
            </w:pPr>
            <w:r>
              <w:rPr/>
              <w:t>«ИСПОЛНИТЕЛЬ»</w:t>
            </w:r>
          </w:p>
          <w:p>
            <w:pPr>
              <w:pStyle w:val="Normal"/>
              <w:jc w:val="both"/>
              <w:rPr>
                <w:sz w:val="22"/>
                <w:szCs w:val="22"/>
              </w:rPr>
            </w:pPr>
            <w:r>
              <w:rPr>
                <w:sz w:val="22"/>
                <w:szCs w:val="22"/>
              </w:rPr>
            </w:r>
          </w:p>
          <w:p>
            <w:pPr>
              <w:pStyle w:val="Normal"/>
              <w:jc w:val="both"/>
              <w:rPr>
                <w:sz w:val="22"/>
                <w:szCs w:val="22"/>
              </w:rPr>
            </w:pPr>
            <w:r>
              <w:rPr>
                <w:sz w:val="22"/>
                <w:szCs w:val="22"/>
              </w:rPr>
            </w:r>
          </w:p>
          <w:p>
            <w:pPr>
              <w:pStyle w:val="Normal"/>
              <w:jc w:val="both"/>
              <w:rPr>
                <w:sz w:val="22"/>
                <w:szCs w:val="22"/>
              </w:rPr>
            </w:pPr>
            <w:r>
              <w:rPr>
                <w:sz w:val="22"/>
                <w:szCs w:val="22"/>
              </w:rPr>
            </w:r>
          </w:p>
          <w:p>
            <w:pPr>
              <w:pStyle w:val="Normal"/>
              <w:jc w:val="both"/>
              <w:rPr>
                <w:sz w:val="22"/>
                <w:szCs w:val="22"/>
              </w:rPr>
            </w:pPr>
            <w:r>
              <w:rPr>
                <w:sz w:val="22"/>
                <w:szCs w:val="22"/>
              </w:rPr>
            </w:r>
          </w:p>
          <w:p>
            <w:pPr>
              <w:pStyle w:val="Normal"/>
              <w:jc w:val="both"/>
              <w:rPr>
                <w:sz w:val="22"/>
                <w:szCs w:val="22"/>
              </w:rPr>
            </w:pPr>
            <w:r>
              <w:rPr/>
              <w:t xml:space="preserve">___________________________ </w:t>
            </w:r>
          </w:p>
          <w:p>
            <w:pPr>
              <w:pStyle w:val="Normal"/>
              <w:jc w:val="both"/>
              <w:rPr>
                <w:sz w:val="22"/>
                <w:szCs w:val="22"/>
              </w:rPr>
            </w:pPr>
            <w:r>
              <w:rPr>
                <w:sz w:val="22"/>
                <w:szCs w:val="22"/>
              </w:rPr>
            </w:r>
          </w:p>
          <w:p>
            <w:pPr>
              <w:pStyle w:val="Normal"/>
              <w:jc w:val="both"/>
              <w:rPr>
                <w:sz w:val="22"/>
                <w:szCs w:val="22"/>
              </w:rPr>
            </w:pPr>
            <w:r>
              <w:rPr/>
              <w:t xml:space="preserve"> </w:t>
            </w:r>
          </w:p>
          <w:p>
            <w:pPr>
              <w:pStyle w:val="Normal"/>
              <w:jc w:val="both"/>
              <w:rPr>
                <w:sz w:val="22"/>
                <w:szCs w:val="22"/>
              </w:rPr>
            </w:pPr>
            <w:r>
              <w:rPr>
                <w:sz w:val="22"/>
                <w:szCs w:val="22"/>
              </w:rPr>
            </w:r>
          </w:p>
        </w:tc>
        <w:tc>
          <w:tcPr>
            <w:tcW w:w="7177" w:type="dxa"/>
            <w:tcBorders/>
          </w:tcPr>
          <w:p>
            <w:pPr>
              <w:pStyle w:val="Normal"/>
              <w:jc w:val="both"/>
              <w:rPr>
                <w:sz w:val="22"/>
                <w:szCs w:val="22"/>
              </w:rPr>
            </w:pPr>
            <w:r>
              <w:rPr/>
              <w:t xml:space="preserve"> </w:t>
            </w:r>
            <w:r>
              <w:rPr/>
              <w:t>«ЗАКАЗЧИК»</w:t>
            </w:r>
          </w:p>
          <w:p>
            <w:pPr>
              <w:pStyle w:val="Normal"/>
              <w:jc w:val="both"/>
              <w:rPr>
                <w:sz w:val="22"/>
                <w:szCs w:val="22"/>
              </w:rPr>
            </w:pPr>
            <w:r>
              <w:rPr>
                <w:sz w:val="22"/>
                <w:szCs w:val="22"/>
              </w:rPr>
            </w:r>
          </w:p>
          <w:p>
            <w:pPr>
              <w:pStyle w:val="Normal"/>
              <w:jc w:val="both"/>
              <w:rPr>
                <w:sz w:val="22"/>
                <w:szCs w:val="22"/>
              </w:rPr>
            </w:pPr>
            <w:r>
              <w:rPr>
                <w:sz w:val="22"/>
                <w:szCs w:val="22"/>
              </w:rPr>
            </w:r>
          </w:p>
          <w:p>
            <w:pPr>
              <w:pStyle w:val="Normal"/>
              <w:jc w:val="both"/>
              <w:rPr>
                <w:sz w:val="22"/>
                <w:szCs w:val="22"/>
              </w:rPr>
            </w:pPr>
            <w:r>
              <w:rPr>
                <w:sz w:val="22"/>
                <w:szCs w:val="22"/>
              </w:rPr>
            </w:r>
          </w:p>
          <w:p>
            <w:pPr>
              <w:pStyle w:val="Normal"/>
              <w:jc w:val="both"/>
              <w:rPr>
                <w:sz w:val="22"/>
                <w:szCs w:val="22"/>
              </w:rPr>
            </w:pPr>
            <w:r>
              <w:rPr>
                <w:sz w:val="22"/>
                <w:szCs w:val="22"/>
              </w:rPr>
            </w:r>
          </w:p>
          <w:p>
            <w:pPr>
              <w:pStyle w:val="Normal"/>
              <w:jc w:val="both"/>
              <w:rPr>
                <w:sz w:val="22"/>
                <w:szCs w:val="22"/>
              </w:rPr>
            </w:pPr>
            <w:r>
              <w:rPr>
                <w:sz w:val="22"/>
                <w:szCs w:val="22"/>
              </w:rPr>
            </w:r>
          </w:p>
          <w:p>
            <w:pPr>
              <w:pStyle w:val="Normal"/>
              <w:jc w:val="both"/>
              <w:rPr>
                <w:sz w:val="22"/>
                <w:szCs w:val="22"/>
              </w:rPr>
            </w:pPr>
            <w:r>
              <w:rPr/>
              <w:t xml:space="preserve">___________________________  </w:t>
            </w:r>
          </w:p>
          <w:p>
            <w:pPr>
              <w:pStyle w:val="Normal"/>
              <w:jc w:val="both"/>
              <w:rPr>
                <w:sz w:val="20"/>
              </w:rPr>
            </w:pPr>
            <w:r>
              <w:rPr>
                <w:sz w:val="20"/>
              </w:rPr>
            </w:r>
          </w:p>
        </w:tc>
      </w:tr>
    </w:tbl>
    <w:p>
      <w:pPr>
        <w:pStyle w:val="Normal"/>
        <w:spacing w:lineRule="auto" w:line="240" w:before="240" w:after="120"/>
        <w:ind w:left="8647" w:right="0" w:hanging="0"/>
        <w:jc w:val="both"/>
        <w:rPr>
          <w:b w:val="false"/>
          <w:b w:val="false"/>
          <w:sz w:val="20"/>
        </w:rPr>
      </w:pPr>
      <w:r>
        <w:rPr/>
      </w:r>
    </w:p>
    <w:sectPr>
      <w:headerReference w:type="default" r:id="rId4"/>
      <w:type w:val="nextPage"/>
      <w:pgSz w:orient="landscape" w:w="16838" w:h="11906"/>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Arial">
    <w:charset w:val="01"/>
    <w:family w:val="roman"/>
    <w:pitch w:val="default"/>
  </w:font>
  <w:font w:name="PT Sans">
    <w:charset w:val="01"/>
    <w:family w:val="roman"/>
    <w:pitch w:val="default"/>
  </w:font>
  <w:font w:name="Courier New">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rPr/>
    </w:pPr>
    <w:r>
      <w:rPr/>
      <mc:AlternateContent>
        <mc:Choice Requires="wps">
          <w:drawing>
            <wp:anchor behindDoc="1" distT="0" distB="0" distL="0" distR="0" simplePos="0" locked="0" layoutInCell="1" allowOverlap="1" relativeHeight="7">
              <wp:simplePos x="0" y="0"/>
              <wp:positionH relativeFrom="margin">
                <wp:align>center</wp:align>
              </wp:positionH>
              <wp:positionV relativeFrom="paragraph">
                <wp:posOffset>635</wp:posOffset>
              </wp:positionV>
              <wp:extent cx="68580" cy="150495"/>
              <wp:effectExtent l="0" t="0" r="0" b="0"/>
              <wp:wrapSquare wrapText="bothSides"/>
              <wp:docPr id="1" name="_x005F_x0000_s1025"/>
              <a:graphic xmlns:a="http://schemas.openxmlformats.org/drawingml/2006/main">
                <a:graphicData uri="http://schemas.microsoft.com/office/word/2010/wordprocessingShape">
                  <wps:wsp>
                    <wps:cNvSpPr/>
                    <wps:spPr>
                      <a:xfrm>
                        <a:off x="0" y="0"/>
                        <a:ext cx="68040" cy="149760"/>
                      </a:xfrm>
                      <a:prstGeom prst="rect">
                        <a:avLst/>
                      </a:prstGeom>
                      <a:noFill/>
                      <a:ln>
                        <a:noFill/>
                      </a:ln>
                    </wps:spPr>
                    <wps:style>
                      <a:lnRef idx="0"/>
                      <a:fillRef idx="0"/>
                      <a:effectRef idx="0"/>
                      <a:fontRef idx="minor"/>
                    </wps:style>
                    <wps:txbx>
                      <w:txbxContent>
                        <w:p>
                          <w:pPr>
                            <w:pStyle w:val="Style19"/>
                            <w:rPr/>
                          </w:pPr>
                          <w:r>
                            <w:rPr>
                              <w:rStyle w:val="Style9"/>
                              <w:color w:val="000000"/>
                            </w:rPr>
                            <w:fldChar w:fldCharType="begin"/>
                          </w:r>
                          <w:r>
                            <w:rPr>
                              <w:rStyle w:val="Style9"/>
                              <w:color w:val="000000"/>
                            </w:rPr>
                            <w:instrText> PAGE </w:instrText>
                          </w:r>
                          <w:r>
                            <w:rPr>
                              <w:rStyle w:val="Style9"/>
                              <w:color w:val="000000"/>
                            </w:rPr>
                            <w:fldChar w:fldCharType="separate"/>
                          </w:r>
                          <w:r>
                            <w:rPr>
                              <w:rStyle w:val="Style9"/>
                              <w:color w:val="000000"/>
                            </w:rPr>
                            <w:t>7</w:t>
                          </w:r>
                          <w:r>
                            <w:rPr>
                              <w:rStyle w:val="Style9"/>
                              <w:color w:val="000000"/>
                            </w:rPr>
                            <w:fldChar w:fldCharType="end"/>
                          </w:r>
                        </w:p>
                        <w:p>
                          <w:pPr>
                            <w:pStyle w:val="Normal"/>
                            <w:rPr>
                              <w:color w:val="000000"/>
                            </w:rPr>
                          </w:pPr>
                          <w:r>
                            <w:rPr>
                              <w:color w:val="000000"/>
                            </w:rPr>
                          </w:r>
                        </w:p>
                      </w:txbxContent>
                    </wps:txbx>
                    <wps:bodyPr lIns="2520" rIns="2520" tIns="2520" bIns="2520">
                      <a:noAutofit/>
                    </wps:bodyPr>
                  </wps:wsp>
                </a:graphicData>
              </a:graphic>
            </wp:anchor>
          </w:drawing>
        </mc:Choice>
        <mc:Fallback>
          <w:pict>
            <v:rect id="shape_0" ID="_x005F_x0000_s1025" stroked="f" style="position:absolute;margin-left:238.25pt;margin-top:0.05pt;width:5.3pt;height:11.75pt;mso-position-horizontal:center;mso-position-horizontal-relative:margin">
              <w10:wrap type="square"/>
              <v:fill o:detectmouseclick="t" on="false"/>
              <v:stroke color="#3465a4" joinstyle="round" endcap="flat"/>
              <v:textbox>
                <w:txbxContent>
                  <w:p>
                    <w:pPr>
                      <w:pStyle w:val="Style19"/>
                      <w:rPr/>
                    </w:pPr>
                    <w:r>
                      <w:rPr>
                        <w:rStyle w:val="Style9"/>
                        <w:color w:val="000000"/>
                      </w:rPr>
                      <w:fldChar w:fldCharType="begin"/>
                    </w:r>
                    <w:r>
                      <w:rPr>
                        <w:rStyle w:val="Style9"/>
                        <w:color w:val="000000"/>
                      </w:rPr>
                      <w:instrText> PAGE </w:instrText>
                    </w:r>
                    <w:r>
                      <w:rPr>
                        <w:rStyle w:val="Style9"/>
                        <w:color w:val="000000"/>
                      </w:rPr>
                      <w:fldChar w:fldCharType="separate"/>
                    </w:r>
                    <w:r>
                      <w:rPr>
                        <w:rStyle w:val="Style9"/>
                        <w:color w:val="000000"/>
                      </w:rPr>
                      <w:t>7</w:t>
                    </w:r>
                    <w:r>
                      <w:rPr>
                        <w:rStyle w:val="Style9"/>
                        <w:color w:val="000000"/>
                      </w:rPr>
                      <w:fldChar w:fldCharType="end"/>
                    </w:r>
                  </w:p>
                  <w:p>
                    <w:pPr>
                      <w:pStyle w:val="Normal"/>
                      <w:rPr>
                        <w:color w:val="000000"/>
                      </w:rPr>
                    </w:pPr>
                    <w:r>
                      <w:rPr>
                        <w:color w:val="000000"/>
                      </w:rPr>
                    </w:r>
                  </w:p>
                </w:txbxContent>
              </v:textbox>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suff w:val="nothing"/>
      <w:lvlText w:val=""/>
      <w:lvlJc w:val="left"/>
      <w:pPr>
        <w:tabs>
          <w:tab w:val="num" w:pos="0"/>
        </w:tabs>
        <w:ind w:left="0" w:hanging="0"/>
      </w:pPr>
    </w:lvl>
    <w:lvl w:ilvl="1">
      <w:start w:val="1"/>
      <w:numFmt w:val="decimal"/>
      <w:suff w:val="nothing"/>
      <w:lvlText w:val=""/>
      <w:lvlJc w:val="left"/>
      <w:pPr>
        <w:tabs>
          <w:tab w:val="num" w:pos="0"/>
        </w:tabs>
        <w:ind w:left="0" w:hanging="0"/>
      </w:pPr>
    </w:lvl>
    <w:lvl w:ilvl="2">
      <w:start w:val="1"/>
      <w:numFmt w:val="decimal"/>
      <w:suff w:val="nothing"/>
      <w:lvlText w:val=""/>
      <w:lvlJc w:val="left"/>
      <w:pPr>
        <w:tabs>
          <w:tab w:val="num" w:pos="0"/>
        </w:tabs>
        <w:ind w:left="0" w:hanging="0"/>
      </w:pPr>
    </w:lvl>
    <w:lvl w:ilvl="3">
      <w:start w:val="1"/>
      <w:numFmt w:val="decimal"/>
      <w:suff w:val="nothing"/>
      <w:lvlText w:val=""/>
      <w:lvlJc w:val="left"/>
      <w:pPr>
        <w:tabs>
          <w:tab w:val="num" w:pos="0"/>
        </w:tabs>
        <w:ind w:left="0" w:hanging="0"/>
      </w:pPr>
    </w:lvl>
    <w:lvl w:ilvl="4">
      <w:start w:val="1"/>
      <w:numFmt w:val="decimal"/>
      <w:suff w:val="nothing"/>
      <w:lvlText w:val=""/>
      <w:lvlJc w:val="left"/>
      <w:pPr>
        <w:tabs>
          <w:tab w:val="num" w:pos="0"/>
        </w:tabs>
        <w:ind w:left="0" w:hanging="0"/>
      </w:pPr>
    </w:lvl>
    <w:lvl w:ilvl="5">
      <w:start w:val="1"/>
      <w:numFmt w:val="decimal"/>
      <w:suff w:val="nothing"/>
      <w:lvlText w:val=""/>
      <w:lvlJc w:val="left"/>
      <w:pPr>
        <w:tabs>
          <w:tab w:val="num" w:pos="0"/>
        </w:tabs>
        <w:ind w:left="0" w:hanging="0"/>
      </w:pPr>
    </w:lvl>
    <w:lvl w:ilvl="6">
      <w:start w:val="1"/>
      <w:numFmt w:val="decimal"/>
      <w:suff w:val="nothing"/>
      <w:lvlText w:val=""/>
      <w:lvlJc w:val="left"/>
      <w:pPr>
        <w:tabs>
          <w:tab w:val="num" w:pos="0"/>
        </w:tabs>
        <w:ind w:left="0" w:hanging="0"/>
      </w:pPr>
    </w:lvl>
    <w:lvl w:ilvl="7">
      <w:start w:val="1"/>
      <w:numFmt w:val="decimal"/>
      <w:suff w:val="nothing"/>
      <w:lvlText w:val=""/>
      <w:lvlJc w:val="left"/>
      <w:pPr>
        <w:tabs>
          <w:tab w:val="num" w:pos="0"/>
        </w:tabs>
        <w:ind w:left="0" w:hanging="0"/>
      </w:pPr>
    </w:lvl>
    <w:lvl w:ilvl="8">
      <w:start w:val="1"/>
      <w:numFmt w:val="decimal"/>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40"/>
  <w:mirrorMargins/>
  <w:defaultTabStop w:val="708"/>
  <w:autoHyphenation w:val="true"/>
  <w:compat>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Noto Sans Devanagari"/>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link w:val="667"/>
    <w:qFormat/>
    <w:pPr>
      <w:widowControl/>
      <w:suppressAutoHyphens w:val="true"/>
      <w:bidi w:val="0"/>
      <w:spacing w:before="0" w:after="0"/>
      <w:jc w:val="left"/>
    </w:pPr>
    <w:rPr>
      <w:rFonts w:ascii="Times New Roman" w:hAnsi="Times New Roman" w:eastAsia="Times New Roman" w:cs="Times New Roman"/>
      <w:color w:val="auto"/>
      <w:kern w:val="0"/>
      <w:sz w:val="20"/>
      <w:szCs w:val="20"/>
      <w:lang w:val="ru-RU" w:eastAsia="zh-CN" w:bidi="ar-SA"/>
    </w:rPr>
  </w:style>
  <w:style w:type="paragraph" w:styleId="1">
    <w:name w:val="Heading 1"/>
    <w:basedOn w:val="Normal"/>
    <w:link w:val="14"/>
    <w:uiPriority w:val="9"/>
    <w:qFormat/>
    <w:pPr>
      <w:keepNext w:val="true"/>
      <w:outlineLvl w:val="0"/>
    </w:pPr>
    <w:rPr>
      <w:b/>
      <w:sz w:val="24"/>
    </w:rPr>
  </w:style>
  <w:style w:type="paragraph" w:styleId="2">
    <w:name w:val="Heading 2"/>
    <w:basedOn w:val="Normal"/>
    <w:link w:val="16"/>
    <w:uiPriority w:val="9"/>
    <w:unhideWhenUsed/>
    <w:qFormat/>
    <w:pPr>
      <w:keepNext w:val="true"/>
      <w:keepLines/>
      <w:spacing w:before="360" w:after="200"/>
      <w:outlineLvl w:val="1"/>
    </w:pPr>
    <w:rPr>
      <w:rFonts w:ascii="Arial" w:hAnsi="Arial" w:eastAsia="Arial" w:cs="Arial"/>
      <w:sz w:val="34"/>
    </w:rPr>
  </w:style>
  <w:style w:type="paragraph" w:styleId="3">
    <w:name w:val="Heading 3"/>
    <w:basedOn w:val="Normal"/>
    <w:link w:val="18"/>
    <w:uiPriority w:val="9"/>
    <w:unhideWhenUsed/>
    <w:qFormat/>
    <w:pPr>
      <w:keepNext w:val="true"/>
      <w:keepLines/>
      <w:spacing w:before="320" w:after="200"/>
      <w:outlineLvl w:val="2"/>
    </w:pPr>
    <w:rPr>
      <w:rFonts w:ascii="Arial" w:hAnsi="Arial" w:eastAsia="Arial" w:cs="Arial"/>
      <w:sz w:val="30"/>
      <w:szCs w:val="30"/>
    </w:rPr>
  </w:style>
  <w:style w:type="paragraph" w:styleId="4">
    <w:name w:val="Heading 4"/>
    <w:basedOn w:val="Normal"/>
    <w:link w:val="20"/>
    <w:uiPriority w:val="9"/>
    <w:unhideWhenUsed/>
    <w:qFormat/>
    <w:pPr>
      <w:keepNext w:val="true"/>
      <w:keepLines/>
      <w:spacing w:before="320" w:after="200"/>
      <w:outlineLvl w:val="3"/>
    </w:pPr>
    <w:rPr>
      <w:rFonts w:ascii="Arial" w:hAnsi="Arial" w:eastAsia="Arial" w:cs="Arial"/>
      <w:b/>
      <w:bCs/>
      <w:sz w:val="26"/>
      <w:szCs w:val="26"/>
    </w:rPr>
  </w:style>
  <w:style w:type="paragraph" w:styleId="5">
    <w:name w:val="Heading 5"/>
    <w:basedOn w:val="Normal"/>
    <w:link w:val="22"/>
    <w:uiPriority w:val="9"/>
    <w:unhideWhenUsed/>
    <w:qFormat/>
    <w:pPr>
      <w:keepNext w:val="true"/>
      <w:keepLines/>
      <w:spacing w:before="320" w:after="200"/>
      <w:outlineLvl w:val="4"/>
    </w:pPr>
    <w:rPr>
      <w:rFonts w:ascii="Arial" w:hAnsi="Arial" w:eastAsia="Arial" w:cs="Arial"/>
      <w:b/>
      <w:bCs/>
      <w:sz w:val="24"/>
      <w:szCs w:val="24"/>
    </w:rPr>
  </w:style>
  <w:style w:type="paragraph" w:styleId="6">
    <w:name w:val="Heading 6"/>
    <w:basedOn w:val="Normal"/>
    <w:link w:val="24"/>
    <w:uiPriority w:val="9"/>
    <w:unhideWhenUsed/>
    <w:qFormat/>
    <w:pPr>
      <w:keepNext w:val="true"/>
      <w:keepLines/>
      <w:spacing w:before="320" w:after="200"/>
      <w:outlineLvl w:val="5"/>
    </w:pPr>
    <w:rPr>
      <w:rFonts w:ascii="Arial" w:hAnsi="Arial" w:eastAsia="Arial" w:cs="Arial"/>
      <w:b/>
      <w:bCs/>
      <w:sz w:val="22"/>
      <w:szCs w:val="22"/>
    </w:rPr>
  </w:style>
  <w:style w:type="paragraph" w:styleId="7">
    <w:name w:val="Heading 7"/>
    <w:basedOn w:val="Normal"/>
    <w:link w:val="26"/>
    <w:uiPriority w:val="9"/>
    <w:unhideWhenUsed/>
    <w:qFormat/>
    <w:pPr>
      <w:keepNext w:val="true"/>
      <w:keepLines/>
      <w:spacing w:before="320" w:after="200"/>
      <w:outlineLvl w:val="6"/>
    </w:pPr>
    <w:rPr>
      <w:rFonts w:ascii="Arial" w:hAnsi="Arial" w:eastAsia="Arial" w:cs="Arial"/>
      <w:b/>
      <w:bCs/>
      <w:i/>
      <w:iCs/>
      <w:sz w:val="22"/>
      <w:szCs w:val="22"/>
    </w:rPr>
  </w:style>
  <w:style w:type="paragraph" w:styleId="8">
    <w:name w:val="Heading 8"/>
    <w:basedOn w:val="Normal"/>
    <w:link w:val="28"/>
    <w:uiPriority w:val="9"/>
    <w:unhideWhenUsed/>
    <w:qFormat/>
    <w:pPr>
      <w:keepNext w:val="true"/>
      <w:keepLines/>
      <w:spacing w:before="320" w:after="200"/>
      <w:outlineLvl w:val="7"/>
    </w:pPr>
    <w:rPr>
      <w:rFonts w:ascii="Arial" w:hAnsi="Arial" w:eastAsia="Arial" w:cs="Arial"/>
      <w:i/>
      <w:iCs/>
      <w:sz w:val="22"/>
      <w:szCs w:val="22"/>
    </w:rPr>
  </w:style>
  <w:style w:type="paragraph" w:styleId="9">
    <w:name w:val="Heading 9"/>
    <w:basedOn w:val="Normal"/>
    <w:link w:val="30"/>
    <w:uiPriority w:val="9"/>
    <w:unhideWhenUsed/>
    <w:qFormat/>
    <w:pPr>
      <w:keepNext w:val="true"/>
      <w:keepLines/>
      <w:spacing w:before="320" w:after="200"/>
      <w:outlineLvl w:val="8"/>
    </w:pPr>
    <w:rPr>
      <w:rFonts w:ascii="Arial" w:hAnsi="Arial" w:eastAsia="Arial" w:cs="Arial"/>
      <w:i/>
      <w:iCs/>
      <w:sz w:val="21"/>
      <w:szCs w:val="21"/>
    </w:rPr>
  </w:style>
  <w:style w:type="character" w:styleId="Heading1Char">
    <w:name w:val="Heading 1 Char"/>
    <w:link w:val="13"/>
    <w:uiPriority w:val="9"/>
    <w:qFormat/>
    <w:rPr>
      <w:rFonts w:ascii="Arial" w:hAnsi="Arial" w:eastAsia="Arial" w:cs="Arial"/>
      <w:sz w:val="40"/>
      <w:szCs w:val="40"/>
    </w:rPr>
  </w:style>
  <w:style w:type="character" w:styleId="Heading2Char">
    <w:name w:val="Heading 2 Char"/>
    <w:link w:val="15"/>
    <w:uiPriority w:val="9"/>
    <w:qFormat/>
    <w:rPr>
      <w:rFonts w:ascii="Arial" w:hAnsi="Arial" w:eastAsia="Arial" w:cs="Arial"/>
      <w:sz w:val="34"/>
    </w:rPr>
  </w:style>
  <w:style w:type="character" w:styleId="Heading3Char">
    <w:name w:val="Heading 3 Char"/>
    <w:link w:val="17"/>
    <w:uiPriority w:val="9"/>
    <w:qFormat/>
    <w:rPr>
      <w:rFonts w:ascii="Arial" w:hAnsi="Arial" w:eastAsia="Arial" w:cs="Arial"/>
      <w:sz w:val="30"/>
      <w:szCs w:val="30"/>
    </w:rPr>
  </w:style>
  <w:style w:type="character" w:styleId="Heading4Char">
    <w:name w:val="Heading 4 Char"/>
    <w:link w:val="19"/>
    <w:uiPriority w:val="9"/>
    <w:qFormat/>
    <w:rPr>
      <w:rFonts w:ascii="Arial" w:hAnsi="Arial" w:eastAsia="Arial" w:cs="Arial"/>
      <w:b/>
      <w:bCs/>
      <w:sz w:val="26"/>
      <w:szCs w:val="26"/>
    </w:rPr>
  </w:style>
  <w:style w:type="character" w:styleId="Heading5Char">
    <w:name w:val="Heading 5 Char"/>
    <w:link w:val="21"/>
    <w:uiPriority w:val="9"/>
    <w:qFormat/>
    <w:rPr>
      <w:rFonts w:ascii="Arial" w:hAnsi="Arial" w:eastAsia="Arial" w:cs="Arial"/>
      <w:b/>
      <w:bCs/>
      <w:sz w:val="24"/>
      <w:szCs w:val="24"/>
    </w:rPr>
  </w:style>
  <w:style w:type="character" w:styleId="Heading6Char">
    <w:name w:val="Heading 6 Char"/>
    <w:link w:val="23"/>
    <w:uiPriority w:val="9"/>
    <w:qFormat/>
    <w:rPr>
      <w:rFonts w:ascii="Arial" w:hAnsi="Arial" w:eastAsia="Arial" w:cs="Arial"/>
      <w:b/>
      <w:bCs/>
      <w:sz w:val="22"/>
      <w:szCs w:val="22"/>
    </w:rPr>
  </w:style>
  <w:style w:type="character" w:styleId="Heading7Char">
    <w:name w:val="Heading 7 Char"/>
    <w:link w:val="25"/>
    <w:uiPriority w:val="9"/>
    <w:qFormat/>
    <w:rPr>
      <w:rFonts w:ascii="Arial" w:hAnsi="Arial" w:eastAsia="Arial" w:cs="Arial"/>
      <w:b/>
      <w:bCs/>
      <w:i/>
      <w:iCs/>
      <w:sz w:val="22"/>
      <w:szCs w:val="22"/>
    </w:rPr>
  </w:style>
  <w:style w:type="character" w:styleId="Heading8Char">
    <w:name w:val="Heading 8 Char"/>
    <w:link w:val="27"/>
    <w:uiPriority w:val="9"/>
    <w:qFormat/>
    <w:rPr>
      <w:rFonts w:ascii="Arial" w:hAnsi="Arial" w:eastAsia="Arial" w:cs="Arial"/>
      <w:i/>
      <w:iCs/>
      <w:sz w:val="22"/>
      <w:szCs w:val="22"/>
    </w:rPr>
  </w:style>
  <w:style w:type="character" w:styleId="Heading9Char">
    <w:name w:val="Heading 9 Char"/>
    <w:link w:val="29"/>
    <w:uiPriority w:val="9"/>
    <w:qFormat/>
    <w:rPr>
      <w:rFonts w:ascii="Arial" w:hAnsi="Arial" w:eastAsia="Arial" w:cs="Arial"/>
      <w:i/>
      <w:iCs/>
      <w:sz w:val="21"/>
      <w:szCs w:val="21"/>
    </w:rPr>
  </w:style>
  <w:style w:type="character" w:styleId="TitleChar">
    <w:name w:val="Title Char"/>
    <w:link w:val="34"/>
    <w:uiPriority w:val="10"/>
    <w:qFormat/>
    <w:rPr>
      <w:sz w:val="48"/>
      <w:szCs w:val="48"/>
    </w:rPr>
  </w:style>
  <w:style w:type="character" w:styleId="SubtitleChar">
    <w:name w:val="Subtitle Char"/>
    <w:link w:val="36"/>
    <w:uiPriority w:val="11"/>
    <w:qFormat/>
    <w:rPr>
      <w:sz w:val="24"/>
      <w:szCs w:val="24"/>
    </w:rPr>
  </w:style>
  <w:style w:type="character" w:styleId="QuoteChar">
    <w:name w:val="Quote Char"/>
    <w:link w:val="38"/>
    <w:uiPriority w:val="29"/>
    <w:qFormat/>
    <w:rPr>
      <w:i/>
    </w:rPr>
  </w:style>
  <w:style w:type="character" w:styleId="IntenseQuoteChar">
    <w:name w:val="Intense Quote Char"/>
    <w:link w:val="40"/>
    <w:uiPriority w:val="30"/>
    <w:qFormat/>
    <w:rPr>
      <w:i/>
    </w:rPr>
  </w:style>
  <w:style w:type="character" w:styleId="HeaderChar">
    <w:name w:val="Header Char"/>
    <w:link w:val="42"/>
    <w:uiPriority w:val="99"/>
    <w:qFormat/>
    <w:rPr/>
  </w:style>
  <w:style w:type="character" w:styleId="FooterChar">
    <w:name w:val="Footer Char"/>
    <w:link w:val="44"/>
    <w:uiPriority w:val="99"/>
    <w:qFormat/>
    <w:rPr/>
  </w:style>
  <w:style w:type="character" w:styleId="CaptionChar">
    <w:name w:val="Caption Char"/>
    <w:link w:val="44"/>
    <w:uiPriority w:val="99"/>
    <w:qFormat/>
    <w:rPr/>
  </w:style>
  <w:style w:type="character" w:styleId="Style5">
    <w:name w:val="Интернет-ссылка"/>
    <w:uiPriority w:val="99"/>
    <w:unhideWhenUsed/>
    <w:rPr>
      <w:color w:val="0000FF" w:themeColor="hyperlink"/>
      <w:u w:val="single"/>
    </w:rPr>
  </w:style>
  <w:style w:type="character" w:styleId="FootnoteTextChar">
    <w:name w:val="Footnote Text Char"/>
    <w:link w:val="175"/>
    <w:uiPriority w:val="99"/>
    <w:qFormat/>
    <w:rPr>
      <w:sz w:val="18"/>
    </w:rPr>
  </w:style>
  <w:style w:type="character" w:styleId="Style6">
    <w:name w:val="Привязка сноски"/>
    <w:rPr>
      <w:vertAlign w:val="superscript"/>
    </w:rPr>
  </w:style>
  <w:style w:type="character" w:styleId="FootnoteCharacters">
    <w:name w:val="Footnote Characters"/>
    <w:uiPriority w:val="99"/>
    <w:unhideWhenUsed/>
    <w:qFormat/>
    <w:rPr>
      <w:vertAlign w:val="superscript"/>
    </w:rPr>
  </w:style>
  <w:style w:type="character" w:styleId="EndnoteTextChar">
    <w:name w:val="Endnote Text Char"/>
    <w:link w:val="178"/>
    <w:uiPriority w:val="99"/>
    <w:qFormat/>
    <w:rPr>
      <w:sz w:val="20"/>
    </w:rPr>
  </w:style>
  <w:style w:type="character" w:styleId="Style7">
    <w:name w:val="Привязка концевой сноски"/>
    <w:rPr>
      <w:vertAlign w:val="superscript"/>
    </w:rPr>
  </w:style>
  <w:style w:type="character" w:styleId="EndnoteCharacters">
    <w:name w:val="Endnote Characters"/>
    <w:uiPriority w:val="99"/>
    <w:semiHidden/>
    <w:unhideWhenUsed/>
    <w:qFormat/>
    <w:rPr>
      <w:vertAlign w:val="superscript"/>
    </w:rPr>
  </w:style>
  <w:style w:type="character" w:styleId="WW8Num1z0">
    <w:name w:val="WW8Num1z0"/>
    <w:qFormat/>
    <w:rPr/>
  </w:style>
  <w:style w:type="character" w:styleId="WW8Num1z1">
    <w:name w:val="WW8Num1z1"/>
    <w:qFormat/>
    <w:rPr/>
  </w:style>
  <w:style w:type="character" w:styleId="WW8Num1z2">
    <w:name w:val="WW8Num1z2"/>
    <w:link w:val="667"/>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3z0">
    <w:name w:val="WW8Num3z0"/>
    <w:qFormat/>
    <w:rPr/>
  </w:style>
  <w:style w:type="character" w:styleId="WW8Num4z0">
    <w:name w:val="WW8Num4z0"/>
    <w:qFormat/>
    <w:rPr/>
  </w:style>
  <w:style w:type="character" w:styleId="WW8Num5z0">
    <w:name w:val="WW8Num5z0"/>
    <w:qFormat/>
    <w:rPr/>
  </w:style>
  <w:style w:type="character" w:styleId="WW8Num6z0">
    <w:name w:val="WW8Num6z0"/>
    <w:qFormat/>
    <w:rPr/>
  </w:style>
  <w:style w:type="character" w:styleId="Style8">
    <w:name w:val="Основной шрифт абзаца"/>
    <w:qFormat/>
    <w:rPr/>
  </w:style>
  <w:style w:type="character" w:styleId="Style9">
    <w:name w:val="Номер страницы"/>
    <w:basedOn w:val="Style8"/>
    <w:rPr/>
  </w:style>
  <w:style w:type="character" w:styleId="Style10">
    <w:name w:val="Основной текст с отступом Знак"/>
    <w:qFormat/>
    <w:rPr>
      <w:sz w:val="24"/>
    </w:rPr>
  </w:style>
  <w:style w:type="character" w:styleId="DefaultParagraphFont" w:default="1">
    <w:name w:val="Default Paragraph Font"/>
    <w:uiPriority w:val="1"/>
    <w:semiHidden/>
    <w:unhideWhenUsed/>
    <w:qFormat/>
    <w:rPr/>
  </w:style>
  <w:style w:type="paragraph" w:styleId="Style11">
    <w:name w:val="Заголовок"/>
    <w:basedOn w:val="Normal"/>
    <w:next w:val="Style12"/>
    <w:qFormat/>
    <w:pPr>
      <w:keepNext w:val="true"/>
      <w:spacing w:before="240" w:after="120"/>
    </w:pPr>
    <w:rPr>
      <w:rFonts w:ascii="PT Sans" w:hAnsi="PT Sans" w:eastAsia="Tahoma" w:cs="Noto Sans Devanagari"/>
      <w:sz w:val="28"/>
      <w:szCs w:val="28"/>
    </w:rPr>
  </w:style>
  <w:style w:type="paragraph" w:styleId="Style12">
    <w:name w:val="Body Text"/>
    <w:basedOn w:val="Normal"/>
    <w:link w:val="667"/>
    <w:pPr>
      <w:jc w:val="both"/>
    </w:pPr>
    <w:rPr>
      <w:sz w:val="24"/>
    </w:rPr>
  </w:style>
  <w:style w:type="paragraph" w:styleId="Style13">
    <w:name w:val="List"/>
    <w:basedOn w:val="Style12"/>
    <w:pPr/>
    <w:rPr>
      <w:rFonts w:ascii="PT Sans" w:hAnsi="PT Sans" w:cs="Noto Sans Devanagari"/>
    </w:rPr>
  </w:style>
  <w:style w:type="paragraph" w:styleId="Style14">
    <w:name w:val="Caption"/>
    <w:basedOn w:val="Normal"/>
    <w:uiPriority w:val="35"/>
    <w:semiHidden/>
    <w:unhideWhenUsed/>
    <w:qFormat/>
    <w:pPr>
      <w:suppressLineNumbers/>
      <w:spacing w:before="120" w:after="120"/>
    </w:pPr>
    <w:rPr>
      <w:rFonts w:ascii="PT Sans" w:hAnsi="PT Sans" w:cs="Noto Sans Devanagari"/>
      <w:i/>
      <w:iCs/>
      <w:sz w:val="24"/>
      <w:szCs w:val="24"/>
    </w:rPr>
  </w:style>
  <w:style w:type="paragraph" w:styleId="Style15">
    <w:name w:val="Указатель"/>
    <w:basedOn w:val="Normal"/>
    <w:qFormat/>
    <w:pPr>
      <w:suppressLineNumbers/>
    </w:pPr>
    <w:rPr>
      <w:rFonts w:ascii="PT Sans" w:hAnsi="PT Sans" w:cs="Noto Sans Devanagari"/>
    </w:rPr>
  </w:style>
  <w:style w:type="paragraph" w:styleId="ListParagraph">
    <w:name w:val="List Paragraph"/>
    <w:basedOn w:val="Normal"/>
    <w:uiPriority w:val="34"/>
    <w:qFormat/>
    <w:pPr>
      <w:spacing w:before="0" w:after="0"/>
      <w:ind w:left="720" w:hanging="0"/>
      <w:contextualSpacing/>
    </w:pPr>
    <w:rPr/>
  </w:style>
  <w:style w:type="paragraph" w:styleId="NoSpacing">
    <w:name w:val="No Spacing"/>
    <w:uiPriority w:val="1"/>
    <w:qFormat/>
    <w:pPr>
      <w:widowControl/>
      <w:suppressAutoHyphens w:val="true"/>
      <w:bidi w:val="0"/>
      <w:spacing w:lineRule="auto" w:line="240" w:before="0" w:after="0"/>
      <w:jc w:val="left"/>
    </w:pPr>
    <w:rPr>
      <w:rFonts w:ascii="Times New Roman" w:hAnsi="Times New Roman" w:eastAsia="Tahoma" w:cs="Noto Sans Devanagari"/>
      <w:color w:val="auto"/>
      <w:kern w:val="0"/>
      <w:sz w:val="20"/>
      <w:szCs w:val="20"/>
      <w:lang w:val="ru-RU" w:eastAsia="zh-CN" w:bidi="hi-IN"/>
    </w:rPr>
  </w:style>
  <w:style w:type="paragraph" w:styleId="Style16">
    <w:name w:val="Title"/>
    <w:basedOn w:val="Normal"/>
    <w:link w:val="35"/>
    <w:uiPriority w:val="10"/>
    <w:qFormat/>
    <w:pPr>
      <w:spacing w:before="300" w:after="200"/>
      <w:contextualSpacing/>
    </w:pPr>
    <w:rPr>
      <w:sz w:val="48"/>
      <w:szCs w:val="48"/>
    </w:rPr>
  </w:style>
  <w:style w:type="paragraph" w:styleId="Style17">
    <w:name w:val="Subtitle"/>
    <w:basedOn w:val="Normal"/>
    <w:link w:val="37"/>
    <w:uiPriority w:val="11"/>
    <w:qFormat/>
    <w:pPr>
      <w:spacing w:before="200" w:after="200"/>
    </w:pPr>
    <w:rPr>
      <w:sz w:val="24"/>
      <w:szCs w:val="24"/>
    </w:rPr>
  </w:style>
  <w:style w:type="paragraph" w:styleId="Quote">
    <w:name w:val="Quote"/>
    <w:basedOn w:val="Normal"/>
    <w:link w:val="39"/>
    <w:uiPriority w:val="29"/>
    <w:qFormat/>
    <w:pPr>
      <w:ind w:left="720" w:right="720" w:hanging="0"/>
    </w:pPr>
    <w:rPr>
      <w:i/>
    </w:rPr>
  </w:style>
  <w:style w:type="paragraph" w:styleId="IntenseQuote">
    <w:name w:val="Intense Quote"/>
    <w:basedOn w:val="Normal"/>
    <w:link w:val="41"/>
    <w:uiPriority w:val="30"/>
    <w:qFormat/>
    <w:pPr>
      <w:pBdr>
        <w:top w:val="single" w:sz="4" w:space="5" w:color="FFFFFF"/>
        <w:left w:val="single" w:sz="4" w:space="10" w:color="FFFFFF"/>
        <w:bottom w:val="single" w:sz="4" w:space="5" w:color="FFFFFF"/>
        <w:right w:val="single" w:sz="4" w:space="10" w:color="FFFFFF"/>
      </w:pBdr>
      <w:shd w:val="clear" w:color="auto" w:fill="F2F2F2"/>
      <w:spacing w:before="0" w:after="0"/>
      <w:ind w:left="720" w:right="720" w:hanging="0"/>
    </w:pPr>
    <w:rPr>
      <w:i/>
    </w:rPr>
  </w:style>
  <w:style w:type="paragraph" w:styleId="Style18">
    <w:name w:val="Верхний и нижний колонтитулы"/>
    <w:basedOn w:val="Normal"/>
    <w:qFormat/>
    <w:pPr>
      <w:suppressLineNumbers/>
      <w:tabs>
        <w:tab w:val="clear" w:pos="708"/>
        <w:tab w:val="center" w:pos="4819" w:leader="none"/>
        <w:tab w:val="right" w:pos="9638" w:leader="none"/>
      </w:tabs>
    </w:pPr>
    <w:rPr/>
  </w:style>
  <w:style w:type="paragraph" w:styleId="Style19">
    <w:name w:val="Header"/>
    <w:basedOn w:val="Normal"/>
    <w:link w:val="43"/>
    <w:uiPriority w:val="99"/>
    <w:unhideWhenUsed/>
    <w:pPr>
      <w:tabs>
        <w:tab w:val="clear" w:pos="708"/>
        <w:tab w:val="center" w:pos="4536" w:leader="none"/>
        <w:tab w:val="right" w:pos="9072" w:leader="none"/>
      </w:tabs>
    </w:pPr>
    <w:rPr/>
  </w:style>
  <w:style w:type="paragraph" w:styleId="Style20">
    <w:name w:val="Footer"/>
    <w:basedOn w:val="Normal"/>
    <w:link w:val="47"/>
    <w:uiPriority w:val="99"/>
    <w:unhideWhenUsed/>
    <w:pPr>
      <w:tabs>
        <w:tab w:val="clear" w:pos="708"/>
        <w:tab w:val="center" w:pos="4536" w:leader="none"/>
        <w:tab w:val="right" w:pos="9072" w:leader="none"/>
      </w:tabs>
    </w:pPr>
    <w:rPr/>
  </w:style>
  <w:style w:type="paragraph" w:styleId="Style21">
    <w:name w:val="Footnote Text"/>
    <w:basedOn w:val="Normal"/>
    <w:link w:val="176"/>
    <w:uiPriority w:val="99"/>
    <w:semiHidden/>
    <w:unhideWhenUsed/>
    <w:pPr>
      <w:spacing w:lineRule="auto" w:line="240" w:before="0" w:after="40"/>
    </w:pPr>
    <w:rPr>
      <w:sz w:val="18"/>
    </w:rPr>
  </w:style>
  <w:style w:type="paragraph" w:styleId="Style22">
    <w:name w:val="Endnote Text"/>
    <w:basedOn w:val="Normal"/>
    <w:link w:val="179"/>
    <w:uiPriority w:val="99"/>
    <w:semiHidden/>
    <w:unhideWhenUsed/>
    <w:pPr>
      <w:spacing w:lineRule="auto" w:line="240" w:before="0" w:after="0"/>
    </w:pPr>
    <w:rPr>
      <w:sz w:val="20"/>
    </w:rPr>
  </w:style>
  <w:style w:type="paragraph" w:styleId="11">
    <w:name w:val="TOC 1"/>
    <w:basedOn w:val="Normal"/>
    <w:uiPriority w:val="39"/>
    <w:unhideWhenUsed/>
    <w:pPr>
      <w:spacing w:before="0" w:after="57"/>
      <w:ind w:left="0" w:right="0" w:hanging="0"/>
    </w:pPr>
    <w:rPr/>
  </w:style>
  <w:style w:type="paragraph" w:styleId="21">
    <w:name w:val="TOC 2"/>
    <w:basedOn w:val="Normal"/>
    <w:uiPriority w:val="39"/>
    <w:unhideWhenUsed/>
    <w:pPr>
      <w:spacing w:before="0" w:after="57"/>
      <w:ind w:left="283" w:right="0" w:hanging="0"/>
    </w:pPr>
    <w:rPr/>
  </w:style>
  <w:style w:type="paragraph" w:styleId="31">
    <w:name w:val="TOC 3"/>
    <w:basedOn w:val="Normal"/>
    <w:uiPriority w:val="39"/>
    <w:unhideWhenUsed/>
    <w:pPr>
      <w:spacing w:before="0" w:after="57"/>
      <w:ind w:left="567" w:right="0" w:hanging="0"/>
    </w:pPr>
    <w:rPr/>
  </w:style>
  <w:style w:type="paragraph" w:styleId="41">
    <w:name w:val="TOC 4"/>
    <w:basedOn w:val="Normal"/>
    <w:uiPriority w:val="39"/>
    <w:unhideWhenUsed/>
    <w:pPr>
      <w:spacing w:before="0" w:after="57"/>
      <w:ind w:left="850" w:right="0" w:hanging="0"/>
    </w:pPr>
    <w:rPr/>
  </w:style>
  <w:style w:type="paragraph" w:styleId="51">
    <w:name w:val="TOC 5"/>
    <w:basedOn w:val="Normal"/>
    <w:uiPriority w:val="39"/>
    <w:unhideWhenUsed/>
    <w:pPr>
      <w:spacing w:before="0" w:after="57"/>
      <w:ind w:left="1134" w:right="0" w:hanging="0"/>
    </w:pPr>
    <w:rPr/>
  </w:style>
  <w:style w:type="paragraph" w:styleId="61">
    <w:name w:val="TOC 6"/>
    <w:basedOn w:val="Normal"/>
    <w:uiPriority w:val="39"/>
    <w:unhideWhenUsed/>
    <w:pPr>
      <w:spacing w:before="0" w:after="57"/>
      <w:ind w:left="1417" w:right="0" w:hanging="0"/>
    </w:pPr>
    <w:rPr/>
  </w:style>
  <w:style w:type="paragraph" w:styleId="71">
    <w:name w:val="TOC 7"/>
    <w:basedOn w:val="Normal"/>
    <w:uiPriority w:val="39"/>
    <w:unhideWhenUsed/>
    <w:pPr>
      <w:spacing w:before="0" w:after="57"/>
      <w:ind w:left="1701" w:right="0" w:hanging="0"/>
    </w:pPr>
    <w:rPr/>
  </w:style>
  <w:style w:type="paragraph" w:styleId="81">
    <w:name w:val="TOC 8"/>
    <w:basedOn w:val="Normal"/>
    <w:uiPriority w:val="39"/>
    <w:unhideWhenUsed/>
    <w:pPr>
      <w:spacing w:before="0" w:after="57"/>
      <w:ind w:left="1984" w:right="0" w:hanging="0"/>
    </w:pPr>
    <w:rPr/>
  </w:style>
  <w:style w:type="paragraph" w:styleId="91">
    <w:name w:val="TOC 9"/>
    <w:basedOn w:val="Normal"/>
    <w:uiPriority w:val="39"/>
    <w:unhideWhenUsed/>
    <w:pPr>
      <w:spacing w:before="0" w:after="57"/>
      <w:ind w:left="2268" w:right="0" w:hanging="0"/>
    </w:pPr>
    <w:rPr/>
  </w:style>
  <w:style w:type="paragraph" w:styleId="TOCHeading">
    <w:name w:val="TOC Heading"/>
    <w:uiPriority w:val="39"/>
    <w:unhideWhenUsed/>
    <w:qFormat/>
    <w:pPr>
      <w:widowControl/>
      <w:suppressAutoHyphens w:val="true"/>
      <w:bidi w:val="0"/>
      <w:spacing w:before="0" w:after="0"/>
      <w:jc w:val="left"/>
    </w:pPr>
    <w:rPr>
      <w:rFonts w:ascii="Times New Roman" w:hAnsi="Times New Roman" w:eastAsia="Tahoma" w:cs="Noto Sans Devanagari"/>
      <w:color w:val="auto"/>
      <w:kern w:val="0"/>
      <w:sz w:val="20"/>
      <w:szCs w:val="20"/>
      <w:lang w:val="ru-RU" w:eastAsia="zh-CN" w:bidi="hi-IN"/>
    </w:rPr>
  </w:style>
  <w:style w:type="paragraph" w:styleId="Tableoffigures">
    <w:name w:val="table of figures"/>
    <w:basedOn w:val="Normal"/>
    <w:uiPriority w:val="99"/>
    <w:unhideWhenUsed/>
    <w:qFormat/>
    <w:pPr>
      <w:spacing w:before="0" w:afterAutospacing="0" w:after="0"/>
    </w:pPr>
    <w:rPr/>
  </w:style>
  <w:style w:type="paragraph" w:styleId="Style23">
    <w:name w:val="Body Text Indent"/>
    <w:basedOn w:val="Normal"/>
    <w:pPr>
      <w:ind w:left="0" w:right="0" w:firstLine="709"/>
      <w:jc w:val="both"/>
    </w:pPr>
    <w:rPr>
      <w:sz w:val="24"/>
    </w:rPr>
  </w:style>
  <w:style w:type="paragraph" w:styleId="22">
    <w:name w:val="Основной текст с отступом 2"/>
    <w:basedOn w:val="Normal"/>
    <w:qFormat/>
    <w:pPr>
      <w:ind w:left="360" w:right="0" w:hanging="0"/>
      <w:jc w:val="both"/>
    </w:pPr>
    <w:rPr>
      <w:sz w:val="24"/>
      <w:szCs w:val="24"/>
    </w:rPr>
  </w:style>
  <w:style w:type="paragraph" w:styleId="32">
    <w:name w:val="Основной текст с отступом 3"/>
    <w:basedOn w:val="Normal"/>
    <w:qFormat/>
    <w:pPr>
      <w:ind w:left="0" w:right="0" w:firstLine="709"/>
      <w:jc w:val="both"/>
    </w:pPr>
    <w:rPr>
      <w:sz w:val="24"/>
      <w:szCs w:val="24"/>
    </w:rPr>
  </w:style>
  <w:style w:type="paragraph" w:styleId="Style24">
    <w:name w:val="Текст"/>
    <w:basedOn w:val="Normal"/>
    <w:qFormat/>
    <w:pPr/>
    <w:rPr>
      <w:rFonts w:ascii="Courier New" w:hAnsi="Courier New" w:cs="Courier New"/>
      <w:szCs w:val="24"/>
    </w:rPr>
  </w:style>
  <w:style w:type="paragraph" w:styleId="Style25">
    <w:name w:val="Содержимое врезки"/>
    <w:basedOn w:val="Normal"/>
    <w:qFormat/>
    <w:pPr/>
    <w:rPr/>
  </w:style>
  <w:style w:type="numbering" w:styleId="NoList" w:default="1">
    <w:name w:val="No List"/>
    <w:uiPriority w:val="99"/>
    <w:semiHidden/>
    <w:unhideWhenUsed/>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149</TotalTime>
  <Application>LibreOffice/6.4.7.2$Linux_X86_64 LibreOffice_project/40$Build-2</Application>
  <Pages>8</Pages>
  <Words>2674</Words>
  <Characters>19528</Characters>
  <CharactersWithSpaces>23613</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2021-12-11T09:01:00Z</dcterms:created>
  <dc:creator>Александр Егоров</dc:creator>
  <dc:description/>
  <dc:language>ru-RU</dc:language>
  <cp:lastModifiedBy/>
  <cp:lastPrinted>2025-01-24T10:59:59Z</cp:lastPrinted>
  <dcterms:modified xsi:type="dcterms:W3CDTF">2025-06-18T07:46:04Z</dcterms:modified>
  <cp:revision>42</cp:revision>
  <dc:subject/>
  <dc:title>Д О Г О В О Р</dc:title>
</cp:coreProperties>
</file>