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header2.xml" ContentType="application/vnd.openxmlformats-officedocument.wordprocessingml.header+xml"/>
  <Override PartName="/word/header1.xml" ContentType="application/vnd.openxmlformats-officedocument.wordprocessingml.header+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header3.xml" ContentType="application/vnd.openxmlformats-officedocument.wordprocessingml.header+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12"/>
        <w:rPr/>
      </w:pPr>
      <w:r>
        <w:rPr>
          <w:b w:val="false"/>
          <w:sz w:val="25"/>
          <w:szCs w:val="25"/>
        </w:rPr>
        <w:t>ДОГОВОР №  ______</w:t>
      </w:r>
    </w:p>
    <w:p>
      <w:pPr>
        <w:pStyle w:val="Style12"/>
        <w:rPr/>
      </w:pPr>
      <w:r>
        <w:rPr>
          <w:b w:val="false"/>
          <w:sz w:val="25"/>
          <w:szCs w:val="25"/>
        </w:rPr>
        <w:t>на оказание услуг по реагированию на сообщения о срабатывании</w:t>
      </w:r>
    </w:p>
    <w:p>
      <w:pPr>
        <w:pStyle w:val="Style12"/>
        <w:rPr/>
      </w:pPr>
      <w:r>
        <w:rPr>
          <w:b w:val="false"/>
          <w:sz w:val="25"/>
          <w:szCs w:val="25"/>
        </w:rPr>
        <w:t xml:space="preserve">тревожной сигнализации на подключенных к пультам </w:t>
      </w:r>
    </w:p>
    <w:p>
      <w:pPr>
        <w:pStyle w:val="Style12"/>
        <w:rPr/>
      </w:pPr>
      <w:r>
        <w:rPr>
          <w:b w:val="false"/>
          <w:sz w:val="25"/>
          <w:szCs w:val="25"/>
        </w:rPr>
        <w:t xml:space="preserve">централизованного наблюдения объектах </w:t>
      </w:r>
    </w:p>
    <w:p>
      <w:pPr>
        <w:pStyle w:val="Normal"/>
        <w:shd w:val="clear" w:color="auto" w:fill="FFFFFF"/>
        <w:jc w:val="center"/>
        <w:rPr/>
      </w:pPr>
      <w:r>
        <w:rPr>
          <w:sz w:val="25"/>
          <w:szCs w:val="25"/>
        </w:rPr>
        <w:t xml:space="preserve"> </w:t>
      </w:r>
    </w:p>
    <w:p>
      <w:pPr>
        <w:pStyle w:val="Style13"/>
        <w:rPr/>
      </w:pPr>
      <w:r>
        <w:rPr>
          <w:sz w:val="25"/>
          <w:szCs w:val="25"/>
        </w:rPr>
        <w:t xml:space="preserve">________________ </w:t>
        <w:tab/>
        <w:tab/>
        <w:tab/>
        <w:tab/>
        <w:tab/>
        <w:t xml:space="preserve">                           «____» _________ 202___ г.</w:t>
      </w:r>
    </w:p>
    <w:p>
      <w:pPr>
        <w:pStyle w:val="Style13"/>
        <w:rPr/>
      </w:pPr>
      <w:r>
        <w:rPr>
          <w:sz w:val="25"/>
          <w:szCs w:val="25"/>
        </w:rPr>
        <w:tab/>
      </w:r>
    </w:p>
    <w:p>
      <w:pPr>
        <w:pStyle w:val="Style13"/>
        <w:rPr/>
      </w:pPr>
      <w:r>
        <w:rPr>
          <w:sz w:val="25"/>
          <w:szCs w:val="25"/>
        </w:rPr>
        <w:t xml:space="preserve">     </w:t>
      </w:r>
      <w:r>
        <w:rPr>
          <w:sz w:val="25"/>
          <w:szCs w:val="25"/>
        </w:rPr>
        <w:tab/>
        <w:t>______________________________________________________________________, именуемое в дальнейшем «ЗАКАЗЧИК», в лице _______________________, действующего на основании  ____________________________, с одной стороны, и федеральное государственное казенное учреждение «Отдел вневедомственной охраны войск национальной гвардии Российской Федерации по Республике Мордовия», именуемое в дальнейшем «ИСПОЛНИТЕЛЬ», в лице  ____________________________, действующего на основании _________________________ от ____________________,              с другой стороны, а вместе именуемые «СТОРОНЫ», заключили настоящий договор                 о нижеследующем:</w:t>
      </w:r>
    </w:p>
    <w:p>
      <w:pPr>
        <w:pStyle w:val="Style13"/>
        <w:rPr/>
      </w:pPr>
      <w:r>
        <w:rPr/>
      </w:r>
    </w:p>
    <w:p>
      <w:pPr>
        <w:pStyle w:val="Normal"/>
        <w:jc w:val="center"/>
        <w:rPr/>
      </w:pPr>
      <w:r>
        <w:rPr>
          <w:b/>
          <w:sz w:val="25"/>
          <w:szCs w:val="25"/>
        </w:rPr>
        <w:t>1. ПРЕДМЕТ ДОГОВОРА.</w:t>
      </w:r>
    </w:p>
    <w:p>
      <w:pPr>
        <w:pStyle w:val="Style12"/>
        <w:ind w:left="0" w:right="0" w:firstLine="708"/>
        <w:jc w:val="both"/>
        <w:rPr/>
      </w:pPr>
      <w:r>
        <w:rPr>
          <w:b w:val="false"/>
          <w:sz w:val="25"/>
          <w:szCs w:val="25"/>
        </w:rPr>
        <w:t>1.1. «ИСПОЛНИТЕЛЬ» принимает на себя обязательства по оказанию услуг по реагированию на сообщения о срабатывании тревожной сигнализации на подключенных к пультам централизованного наблюдения объектах «ЗАКАЗЧИКА» в дни и часы, согласованные между «Сторонами» и указанные в Перечне охраняемых объектов (Приложение №1 к настоящему договору).</w:t>
      </w:r>
      <w:r>
        <w:rPr>
          <w:sz w:val="25"/>
          <w:szCs w:val="25"/>
        </w:rPr>
        <w:t xml:space="preserve">  </w:t>
      </w:r>
    </w:p>
    <w:p>
      <w:pPr>
        <w:pStyle w:val="Normal"/>
        <w:tabs>
          <w:tab w:val="clear" w:pos="708"/>
          <w:tab w:val="left" w:pos="567" w:leader="none"/>
          <w:tab w:val="left" w:pos="851" w:leader="none"/>
          <w:tab w:val="left" w:pos="1134" w:leader="none"/>
          <w:tab w:val="left" w:pos="1276" w:leader="none"/>
        </w:tabs>
        <w:ind w:left="0" w:right="0" w:firstLine="709"/>
        <w:jc w:val="both"/>
        <w:rPr/>
      </w:pPr>
      <w:r>
        <w:rPr>
          <w:sz w:val="25"/>
          <w:szCs w:val="25"/>
        </w:rPr>
        <w:t>1.2. «ЗАКАЗЧИК» принимает на себя обязательство своевременно производить оплату за услуги «ИСПОЛНИТЕЛЯ» в соответствии с условиями настоящего договора.</w:t>
      </w:r>
    </w:p>
    <w:p>
      <w:pPr>
        <w:pStyle w:val="Normal"/>
        <w:tabs>
          <w:tab w:val="clear" w:pos="708"/>
          <w:tab w:val="left" w:pos="567" w:leader="none"/>
          <w:tab w:val="left" w:pos="851" w:leader="none"/>
          <w:tab w:val="left" w:pos="1134" w:leader="none"/>
          <w:tab w:val="left" w:pos="1276" w:leader="none"/>
        </w:tabs>
        <w:ind w:left="0" w:right="0" w:firstLine="709"/>
        <w:jc w:val="both"/>
        <w:rPr>
          <w:sz w:val="25"/>
          <w:szCs w:val="25"/>
        </w:rPr>
      </w:pPr>
      <w:r>
        <w:rPr>
          <w:sz w:val="25"/>
          <w:szCs w:val="25"/>
        </w:rPr>
      </w:r>
    </w:p>
    <w:p>
      <w:pPr>
        <w:pStyle w:val="22"/>
        <w:rPr/>
      </w:pPr>
      <w:r>
        <w:rPr>
          <w:sz w:val="25"/>
          <w:szCs w:val="25"/>
        </w:rPr>
        <w:t>2. ОБЩИЕ ПОЛОЖЕНИЯ.</w:t>
      </w:r>
    </w:p>
    <w:p>
      <w:pPr>
        <w:pStyle w:val="Normal"/>
        <w:ind w:left="0" w:right="0" w:firstLine="709"/>
        <w:jc w:val="both"/>
        <w:rPr/>
      </w:pPr>
      <w:r>
        <w:rPr>
          <w:sz w:val="25"/>
          <w:szCs w:val="25"/>
        </w:rPr>
        <w:t>2.1. Внутриобъектовый режим на объекте устанавливается «ЗАКАЗЧИКОМ». «ЗАКАЗЧИК» обязан осуществлять контроль за соблюдением внутриобъектового режима лицами, находящимися на Объекте.</w:t>
      </w:r>
    </w:p>
    <w:p>
      <w:pPr>
        <w:pStyle w:val="Normal"/>
        <w:ind w:left="0" w:right="0" w:firstLine="709"/>
        <w:jc w:val="both"/>
        <w:rPr/>
      </w:pPr>
      <w:r>
        <w:rPr>
          <w:sz w:val="25"/>
          <w:szCs w:val="25"/>
        </w:rPr>
        <w:t xml:space="preserve">2.2. В случае совершения или угрозы совершения любых противоправных действий в помещениях (на территории) Объекта в течение времени, установленного Договором, «ЗАКАЗЧИК» своевременно вызывает группу задержания для обеспечения внутриобъектового режима, путем подачи сигнала «Тревога» средствами тревожной сигнализации на системы централизованного наблюдения «ИСПОЛНИТЕЛЯ». Под обеспечением внутриобъектового режима подразумевается принятие мер для пресечения противоправных действий, а при необходимости задержания лиц, их совершивших. Время обеспечения «ИСПОЛНИТЕЛЕМ» внутриобъектового режима определяется моментом прибытия группы задержания по сигналу «Тревога» на Объект «ЗАКАЗЧИКА» и до момента убытия с данного Объекта. </w:t>
      </w:r>
    </w:p>
    <w:p>
      <w:pPr>
        <w:pStyle w:val="Normal"/>
        <w:ind w:left="0" w:right="0" w:firstLine="709"/>
        <w:jc w:val="both"/>
        <w:rPr/>
      </w:pPr>
      <w:r>
        <w:rPr>
          <w:sz w:val="25"/>
          <w:szCs w:val="25"/>
        </w:rPr>
        <w:t>2.3. «ИСПОЛНИТЕЛЬ» рекомендует, а «ЗАКАЗЧИК» определяет места установки и виды средств тревожной сигнализации на Объекте.</w:t>
      </w:r>
    </w:p>
    <w:p>
      <w:pPr>
        <w:pStyle w:val="Style24"/>
        <w:spacing w:lineRule="auto" w:line="240"/>
        <w:ind w:left="0" w:right="0" w:firstLine="709"/>
        <w:rPr/>
      </w:pPr>
      <w:r>
        <w:rPr>
          <w:sz w:val="25"/>
          <w:szCs w:val="25"/>
        </w:rPr>
        <w:t>2.4. Пользование тревожной сигнализацией разрешено только работникам «ЗАКАЗЧИКА». Список лиц, ответственных за пользование тревожной сигнализацией, составляется и утверждается «ЗАКАЗЧИКОМ». Данный список предоставляется «ИСПОЛНИТЕЛЮ» до начала оказания услуг по настоящему Договору, с последующим письменным уведомлением о его изменении. Список прилагается к Договору.</w:t>
      </w:r>
    </w:p>
    <w:p>
      <w:pPr>
        <w:pStyle w:val="Style24"/>
        <w:spacing w:lineRule="auto" w:line="240"/>
        <w:ind w:left="0" w:right="0" w:firstLine="709"/>
        <w:rPr/>
      </w:pPr>
      <w:r>
        <w:rPr>
          <w:sz w:val="25"/>
          <w:szCs w:val="25"/>
        </w:rPr>
        <w:t>2.5. Количество Объектов и средств тревожной сигнализации, размещаемых на Объектах «ЗАКАЗЧИКА», а также время наблюдения за каналом передачи тревожного извещения, определяются «СТОРОНАМИ» и отражаются в Приложении № 1, которое является неотъемлемой частью настоящего Договора.</w:t>
      </w:r>
    </w:p>
    <w:p>
      <w:pPr>
        <w:pStyle w:val="Style24"/>
        <w:spacing w:lineRule="auto" w:line="240"/>
        <w:ind w:left="0" w:right="0" w:firstLine="709"/>
        <w:rPr/>
      </w:pPr>
      <w:r>
        <w:rPr>
          <w:sz w:val="25"/>
          <w:szCs w:val="25"/>
        </w:rPr>
        <w:t>2.6. По истечении времени, указанного в Приложении № 1, централизованного наблюдения за каналом передачи тревожного извещения технические средства тревожной сигнализации снимаются «ИСПОЛНИТЕЛЕМ» с наблюдения без уведомления «ЗАКАЗЧИКА». Наблюдение за каналом передачи тревожного извещения возобновляется при наступлении времени указанного в Приложении № 1.</w:t>
      </w:r>
    </w:p>
    <w:p>
      <w:pPr>
        <w:pStyle w:val="Style24"/>
        <w:spacing w:lineRule="auto" w:line="240"/>
        <w:ind w:left="0" w:right="0" w:firstLine="709"/>
        <w:rPr/>
      </w:pPr>
      <w:r>
        <w:rPr>
          <w:sz w:val="25"/>
          <w:szCs w:val="25"/>
        </w:rPr>
        <w:t>2.7. «ИСПОЛНИТЕЛЬ» исполняет обязательства по настоящему договору без материальной ответственности.</w:t>
      </w:r>
    </w:p>
    <w:p>
      <w:pPr>
        <w:pStyle w:val="Style24"/>
        <w:spacing w:lineRule="auto" w:line="240"/>
        <w:ind w:left="0" w:right="0" w:firstLine="708"/>
        <w:rPr/>
      </w:pPr>
      <w:r>
        <w:rPr>
          <w:sz w:val="25"/>
          <w:szCs w:val="25"/>
        </w:rPr>
        <w:t>2.8. Указания и рекомендации «ИСПОЛНИТЕЛЯ», основанные на требованиях действующих инструкций, наставлений и других нормативных документов по соблюдению правил эксплуатации и содержания Комплекса ТСО, а также по устранению недостатков в технической укреплённости Объекта «ЗАКАЗЧИКА», отрицательно влияющих на работоспособность Комплекса ТСО, являются обязательными для «ЗАКАЗЧИКА».</w:t>
      </w:r>
    </w:p>
    <w:p>
      <w:pPr>
        <w:pStyle w:val="Style13"/>
        <w:ind w:left="0" w:right="0" w:firstLine="709"/>
        <w:rPr/>
      </w:pPr>
      <w:r>
        <w:rPr>
          <w:sz w:val="25"/>
          <w:szCs w:val="25"/>
        </w:rPr>
        <w:t>2.9. Техническая укреплённость и оборудование объектов средствами охранной и тревожной сигнализации, а также последующий ремонт и техническое обслуживание этих средств производится за счет «ЗАКАЗЧИКА», путем заключения отдельного договора с организацией, имеющей  лицензию на оказание данных услуг. Ответственность за исправность технических средств тревожной сигнализации, установленных на объекте, несет обслуживающее предприятие в соответствии с договором на техническое обслуживание.</w:t>
      </w:r>
    </w:p>
    <w:p>
      <w:pPr>
        <w:pStyle w:val="Style24"/>
        <w:spacing w:lineRule="auto" w:line="240"/>
        <w:ind w:left="0" w:right="0" w:firstLine="708"/>
        <w:rPr/>
      </w:pPr>
      <w:r>
        <w:rPr>
          <w:sz w:val="25"/>
          <w:szCs w:val="25"/>
        </w:rPr>
        <w:t>2.10. «СТОРОНЫ» настоящего договора ежемесячно подводят итоги оказания/получения услуг, предусмотренных настоящим договором. По результатам</w:t>
      </w:r>
      <w:r>
        <w:rPr>
          <w:bCs/>
          <w:sz w:val="25"/>
          <w:szCs w:val="25"/>
        </w:rPr>
        <w:t xml:space="preserve"> подведения итогов оказания/получения услуг «СТОРОНАМИ» составляется  двусторонний акт об оказании/получении услуг с указанием суммы, подлежащей перечислению «ЗАКАЗЧИКОМ» на расчетный счет «ИСПОЛНИТЕЛЯ». </w:t>
      </w:r>
    </w:p>
    <w:p>
      <w:pPr>
        <w:pStyle w:val="Style24"/>
        <w:spacing w:lineRule="auto" w:line="240"/>
        <w:ind w:left="0" w:right="0" w:firstLine="708"/>
        <w:rPr/>
      </w:pPr>
      <w:r>
        <w:rPr>
          <w:bCs/>
          <w:sz w:val="25"/>
          <w:szCs w:val="25"/>
        </w:rPr>
        <w:t>2.11. Если в течение 10 календарных дней со дня направления «ЗАКАЗЧИКУ» акта оказания/получения услуг от последнего не поступил в адрес «ИСПОЛНИТЕЛЯ» подписанный акт или возражения, касающиеся выполнения услуг по настоящему договору, то акт оказания/получения услуг считается подписанным «ЗАКАЗЧИКОМ», а услуги соответственно оказанными.</w:t>
      </w:r>
    </w:p>
    <w:p>
      <w:pPr>
        <w:pStyle w:val="Style24"/>
        <w:spacing w:lineRule="auto" w:line="240"/>
        <w:ind w:left="0" w:right="0" w:firstLine="708"/>
        <w:rPr>
          <w:bCs/>
          <w:sz w:val="25"/>
          <w:szCs w:val="25"/>
        </w:rPr>
      </w:pPr>
      <w:r>
        <w:rPr>
          <w:bCs/>
          <w:sz w:val="25"/>
          <w:szCs w:val="25"/>
        </w:rPr>
      </w:r>
    </w:p>
    <w:p>
      <w:pPr>
        <w:pStyle w:val="Style24"/>
        <w:ind w:left="0" w:right="0" w:firstLine="737"/>
        <w:jc w:val="center"/>
        <w:rPr/>
      </w:pPr>
      <w:r>
        <w:rPr>
          <w:b/>
          <w:sz w:val="25"/>
          <w:szCs w:val="25"/>
        </w:rPr>
        <w:t>3. ОБЯЗАННОСТИ «ИСПОЛНИТЕЛЯ».</w:t>
      </w:r>
    </w:p>
    <w:p>
      <w:pPr>
        <w:pStyle w:val="Style24"/>
        <w:spacing w:lineRule="auto" w:line="240"/>
        <w:ind w:left="0" w:right="0" w:firstLine="737"/>
        <w:rPr/>
      </w:pPr>
      <w:r>
        <w:rPr>
          <w:sz w:val="25"/>
          <w:szCs w:val="25"/>
        </w:rPr>
        <w:t xml:space="preserve">3.1. Осуществлять в установленном порядке наблюдение за каналом  передачи тревожного извещения с объектов «ЗАКАЗЧИКА» в дни и часы, указанные в Приложении №1. </w:t>
      </w:r>
    </w:p>
    <w:p>
      <w:pPr>
        <w:pStyle w:val="Normal"/>
        <w:ind w:left="0" w:right="0" w:firstLine="709"/>
        <w:jc w:val="both"/>
        <w:rPr/>
      </w:pPr>
      <w:r>
        <w:rPr>
          <w:sz w:val="25"/>
          <w:szCs w:val="25"/>
        </w:rPr>
        <w:t xml:space="preserve">3.2. При поступлении сигнала «Тревога» с Объекта в период времени наблюдения за каналом передачи тревожного извещения, направлять группу задержания для обеспечения внутриобъектового режима, выяснения причины срабатывания тревожной сигнализации, а при необходимости принимать меры к пресечению противоправных действий и задержанию лиц их совершающих. </w:t>
      </w:r>
    </w:p>
    <w:p>
      <w:pPr>
        <w:pStyle w:val="Normal"/>
        <w:ind w:left="0" w:right="0" w:firstLine="708"/>
        <w:jc w:val="both"/>
        <w:rPr>
          <w:sz w:val="25"/>
          <w:szCs w:val="25"/>
        </w:rPr>
      </w:pPr>
      <w:r>
        <w:rPr>
          <w:sz w:val="25"/>
          <w:szCs w:val="25"/>
        </w:rPr>
      </w:r>
    </w:p>
    <w:p>
      <w:pPr>
        <w:pStyle w:val="Normal"/>
        <w:ind w:left="0" w:right="0" w:firstLine="142"/>
        <w:jc w:val="center"/>
        <w:rPr/>
      </w:pPr>
      <w:r>
        <w:rPr>
          <w:b/>
          <w:sz w:val="25"/>
          <w:szCs w:val="25"/>
        </w:rPr>
        <w:t>4. ОБЯЗАННОСТИ «ЗАКАЗЧИКА».</w:t>
      </w:r>
    </w:p>
    <w:p>
      <w:pPr>
        <w:pStyle w:val="Normal"/>
        <w:jc w:val="both"/>
        <w:rPr/>
      </w:pPr>
      <w:r>
        <w:rPr>
          <w:b/>
          <w:sz w:val="25"/>
          <w:szCs w:val="25"/>
        </w:rPr>
        <w:tab/>
        <w:t>«</w:t>
      </w:r>
      <w:r>
        <w:rPr>
          <w:sz w:val="25"/>
          <w:szCs w:val="25"/>
        </w:rPr>
        <w:t>ЗАКАЗЧИК» обязан:</w:t>
      </w:r>
    </w:p>
    <w:p>
      <w:pPr>
        <w:pStyle w:val="Normal"/>
        <w:numPr>
          <w:ilvl w:val="1"/>
          <w:numId w:val="1"/>
        </w:numPr>
        <w:tabs>
          <w:tab w:val="clear" w:pos="708"/>
          <w:tab w:val="left" w:pos="0" w:leader="none"/>
        </w:tabs>
        <w:ind w:left="0" w:right="0" w:firstLine="720"/>
        <w:jc w:val="both"/>
        <w:rPr/>
      </w:pPr>
      <w:r>
        <w:rPr>
          <w:sz w:val="25"/>
          <w:szCs w:val="25"/>
        </w:rPr>
        <w:t>Предоставить «ИСПОЛНИТЕЛЮ» копию договора на обслуживание технических средств тревожной сигнализации. В случае расторжения договора                        с организацией, оказывающей услуги по техническому обслуживанию Комплекса ТСО,  и заключением договора с другой организацией предоставить «ИСПОЛНИТЕЛЮ» копию договора на обслуживание технических средств тревожной сигнализации,                     а так же список лиц обслуживающих технические средства тревожной сигнализации на данном Объекте с последующим своевременным письменным уведомлением о его изменении. В последующем, при перезаключении договора на техническое обслуживание предоставлять «ИСПОЛНИТЕЛЮ» копии новых договоров и лицензии, а так же новый список лиц обслуживающих технические средства тревожной сигнализации на данном объекте. Не допускать к обслуживанию технических средств тревожной сигнализации посторонних лиц.</w:t>
      </w:r>
    </w:p>
    <w:p>
      <w:pPr>
        <w:pStyle w:val="Normal"/>
        <w:numPr>
          <w:ilvl w:val="1"/>
          <w:numId w:val="1"/>
        </w:numPr>
        <w:tabs>
          <w:tab w:val="clear" w:pos="708"/>
          <w:tab w:val="left" w:pos="0" w:leader="none"/>
        </w:tabs>
        <w:ind w:left="0" w:right="0" w:firstLine="720"/>
        <w:jc w:val="both"/>
        <w:rPr/>
      </w:pPr>
      <w:r>
        <w:rPr>
          <w:sz w:val="25"/>
          <w:szCs w:val="25"/>
        </w:rPr>
        <w:t xml:space="preserve">Производить ежемесячно проверку работоспособности тревожной сигнализации путем пробной подачи сигнала «Тревога» на системы централизованного наблюдения «ИСПОЛНИТЕЛЯ», с предварительным уведомлением об этом дежурного ПЦО (дежурного ПУ) по телефону__________________.  </w:t>
      </w:r>
    </w:p>
    <w:p>
      <w:pPr>
        <w:pStyle w:val="Normal"/>
        <w:tabs>
          <w:tab w:val="clear" w:pos="708"/>
          <w:tab w:val="left" w:pos="0" w:leader="none"/>
        </w:tabs>
        <w:ind w:left="0" w:right="0" w:firstLine="720"/>
        <w:jc w:val="both"/>
        <w:rPr/>
      </w:pPr>
      <w:r>
        <w:rPr>
          <w:sz w:val="25"/>
          <w:szCs w:val="25"/>
        </w:rPr>
        <w:t>Принимать меры к своевременному ремонту средств тревожной сигнализации, линий связи и электропитания, к которым подключена сигнализация.</w:t>
      </w:r>
    </w:p>
    <w:p>
      <w:pPr>
        <w:pStyle w:val="Normal"/>
        <w:ind w:left="0" w:right="0" w:firstLine="709"/>
        <w:jc w:val="both"/>
        <w:rPr/>
      </w:pPr>
      <w:r>
        <w:rPr>
          <w:sz w:val="25"/>
          <w:szCs w:val="25"/>
        </w:rPr>
        <w:t xml:space="preserve">Обеспечить проведение ремонтных и регламентных работ по техническому обслуживанию средств сигнализации. Незамедлительно сообщать в обслуживающую организацию о возникших неисправностях средств сигнализации и обеспечить возможность проведения ремонтных и регламентных работ по техническому обслуживанию Комплекса технических средств охраны. </w:t>
      </w:r>
    </w:p>
    <w:p>
      <w:pPr>
        <w:pStyle w:val="Normal"/>
        <w:numPr>
          <w:ilvl w:val="1"/>
          <w:numId w:val="1"/>
        </w:numPr>
        <w:ind w:left="0" w:right="0" w:firstLine="720"/>
        <w:jc w:val="both"/>
        <w:rPr/>
      </w:pPr>
      <w:r>
        <w:rPr>
          <w:sz w:val="25"/>
          <w:szCs w:val="25"/>
        </w:rPr>
        <w:t>Строго соблюдать правила пользования тревожной сигнализацией. Не допускать к пользованию сигнализацией лиц, не указанных в списке ответственных лиц за пользование тревожной сигнализацией. Не разглашать посторонним лицам правил пользования тревожной сигнализацией и присвоенный условный (пультовый) номер объекта.</w:t>
      </w:r>
    </w:p>
    <w:p>
      <w:pPr>
        <w:pStyle w:val="Normal"/>
        <w:numPr>
          <w:ilvl w:val="1"/>
          <w:numId w:val="1"/>
        </w:numPr>
        <w:ind w:left="0" w:right="0" w:firstLine="720"/>
        <w:jc w:val="both"/>
        <w:rPr/>
      </w:pPr>
      <w:r>
        <w:rPr>
          <w:sz w:val="25"/>
          <w:szCs w:val="25"/>
        </w:rPr>
        <w:t>Обеспечивать представителям «ИСПОЛНИТЕЛЯ» (группе задержания,  дежурному ПЦО) возможность доступа на Объект в целях выполнения ими обязательств, взятых «ИСПОЛНИТЕЛЕМ» на себя в соответствии с настоящим Договором.</w:t>
      </w:r>
    </w:p>
    <w:p>
      <w:pPr>
        <w:pStyle w:val="Normal"/>
        <w:numPr>
          <w:ilvl w:val="1"/>
          <w:numId w:val="1"/>
        </w:numPr>
        <w:ind w:left="0" w:right="0" w:firstLine="720"/>
        <w:jc w:val="both"/>
        <w:rPr/>
      </w:pPr>
      <w:r>
        <w:rPr>
          <w:sz w:val="25"/>
          <w:szCs w:val="25"/>
        </w:rPr>
        <w:t xml:space="preserve">Своевременно производить оплату за оказанные услуги. В случае подачи ложного сигнала «Тревога» по вине «ЗАКАЗЧИКА», а так же по причине поступления сигнала «Тревога» из-за неисправности объектовых средств сигнализации, оплатить «ИСПОЛНИТЕЛЮ» расходы, связанные выездами группы задержания (согласно тарифам, утвержденным ФГКУ «ОВО ВНГ России по Республике Мордовия»). Оплачивается каждый выезд по ложному сигналу. Оплата производится в течение                   10 дней с момента направления «ИСПОЛНИТЕЛЕМ» «ЗАКАЗЧИКУ» соответствующего уведомления. </w:t>
      </w:r>
    </w:p>
    <w:p>
      <w:pPr>
        <w:pStyle w:val="Normal"/>
        <w:numPr>
          <w:ilvl w:val="1"/>
          <w:numId w:val="1"/>
        </w:numPr>
        <w:ind w:left="0" w:right="0" w:firstLine="720"/>
        <w:jc w:val="both"/>
        <w:rPr/>
      </w:pPr>
      <w:r>
        <w:rPr>
          <w:sz w:val="25"/>
          <w:szCs w:val="25"/>
        </w:rPr>
        <w:t>Письменно информировать «ИСПОЛНИТЕЛЯ» о наличии спора о праве собственности (об управлении имуществом) на Объект «ЗАКАЗЧИКА» в судебных и иных органах и результатах его рассмотрения в течение 10 календарных дней с момента наступления соответствующих событий.</w:t>
      </w:r>
    </w:p>
    <w:p>
      <w:pPr>
        <w:pStyle w:val="Normal"/>
        <w:numPr>
          <w:ilvl w:val="1"/>
          <w:numId w:val="1"/>
        </w:numPr>
        <w:tabs>
          <w:tab w:val="clear" w:pos="708"/>
          <w:tab w:val="left" w:pos="0" w:leader="none"/>
        </w:tabs>
        <w:ind w:left="0" w:right="0" w:firstLine="709"/>
        <w:jc w:val="both"/>
        <w:rPr/>
      </w:pPr>
      <w:r>
        <w:rPr>
          <w:sz w:val="25"/>
          <w:szCs w:val="25"/>
        </w:rPr>
        <w:t xml:space="preserve"> </w:t>
      </w:r>
      <w:r>
        <w:rPr>
          <w:sz w:val="25"/>
          <w:szCs w:val="25"/>
        </w:rPr>
        <w:t>При применении на объекте охранного радиоканального объектового устройства, работа которого осуществляется с использованием услуг операторов сотовой связи, имеющего дополнительный (резервный) канал связи с ПЦО, обеспечивать работоспособность данного канала за счет собственных средств.</w:t>
      </w:r>
    </w:p>
    <w:p>
      <w:pPr>
        <w:pStyle w:val="Normal"/>
        <w:numPr>
          <w:ilvl w:val="1"/>
          <w:numId w:val="1"/>
        </w:numPr>
        <w:tabs>
          <w:tab w:val="clear" w:pos="708"/>
          <w:tab w:val="left" w:pos="0" w:leader="none"/>
        </w:tabs>
        <w:ind w:left="0" w:right="0" w:firstLine="709"/>
        <w:jc w:val="both"/>
        <w:rPr/>
      </w:pPr>
      <w:r>
        <w:rPr>
          <w:sz w:val="25"/>
          <w:szCs w:val="25"/>
        </w:rPr>
        <w:t xml:space="preserve">Своевременно, не допуская возникновения задолженности, оплачивать услуги оператора сотовой связи, обеспечив неснижаемый остаток денежных средств на счете в размере не менее 50 (пятидесяти) рублей.  </w:t>
      </w:r>
    </w:p>
    <w:p>
      <w:pPr>
        <w:pStyle w:val="Normal"/>
        <w:numPr>
          <w:ilvl w:val="0"/>
          <w:numId w:val="0"/>
        </w:numPr>
        <w:tabs>
          <w:tab w:val="clear" w:pos="708"/>
          <w:tab w:val="left" w:pos="0" w:leader="none"/>
        </w:tabs>
        <w:ind w:left="360" w:right="0" w:hanging="0"/>
        <w:jc w:val="both"/>
        <w:rPr/>
      </w:pPr>
      <w:r>
        <w:rPr/>
      </w:r>
    </w:p>
    <w:p>
      <w:pPr>
        <w:pStyle w:val="Style24"/>
        <w:ind w:left="0" w:right="0" w:firstLine="1"/>
        <w:jc w:val="center"/>
        <w:rPr/>
      </w:pPr>
      <w:r>
        <w:rPr>
          <w:b/>
          <w:sz w:val="25"/>
          <w:szCs w:val="25"/>
        </w:rPr>
        <w:t>5.  СУММА ДОГОВОРА И ПОРЯДОК РАСЧЕТОВ.</w:t>
      </w:r>
    </w:p>
    <w:p>
      <w:pPr>
        <w:pStyle w:val="Normal"/>
        <w:ind w:left="0" w:right="0" w:firstLine="709"/>
        <w:jc w:val="both"/>
        <w:rPr/>
      </w:pPr>
      <w:r>
        <w:rPr>
          <w:sz w:val="25"/>
          <w:szCs w:val="25"/>
        </w:rPr>
        <w:t>5.1. Сумма ежемесячного платежа за услуги «ИСПОЛНИТЕЛЯ» по настоящему договору определяется в зависимости от количества и категории  охраняемых Объектов, а также времени и указывается в Приложении №1. Стоимость услуг «ИСПОЛНИТЕЛЯ» в соответствии со ст. 146 Налогового кодекса Российской Федерации не облагается НДС.</w:t>
      </w:r>
    </w:p>
    <w:p>
      <w:pPr>
        <w:pStyle w:val="Normal"/>
        <w:ind w:left="0" w:right="0" w:firstLine="709"/>
        <w:jc w:val="both"/>
        <w:rPr/>
      </w:pPr>
      <w:r>
        <w:rPr>
          <w:sz w:val="25"/>
          <w:szCs w:val="25"/>
        </w:rPr>
        <w:t xml:space="preserve">5.2. Оплата услуг «ИСПОЛНИТЕЛЯ» производится ежемесячно до 05 числа месяца следующего за отчетным, путем перечисления «ЗАКАЗЧИКОМ» денежной суммы в соответствии с п. 5.1. договора на лицевой счет «ИСПОЛНИТЕЛЯ»                           на основании акта </w:t>
      </w:r>
      <w:r>
        <w:rPr>
          <w:bCs/>
          <w:sz w:val="25"/>
          <w:szCs w:val="25"/>
        </w:rPr>
        <w:t xml:space="preserve">об оказании/получении услуг </w:t>
      </w:r>
      <w:r>
        <w:rPr>
          <w:sz w:val="25"/>
          <w:szCs w:val="25"/>
        </w:rPr>
        <w:t xml:space="preserve">и счета-фактуры. </w:t>
      </w:r>
    </w:p>
    <w:p>
      <w:pPr>
        <w:pStyle w:val="Normal"/>
        <w:ind w:left="0" w:right="0" w:firstLine="709"/>
        <w:jc w:val="both"/>
        <w:rPr/>
      </w:pPr>
      <w:r>
        <w:rPr>
          <w:sz w:val="25"/>
          <w:szCs w:val="25"/>
        </w:rPr>
        <w:t>5.3. В случае просрочки исполнения «ЗАКАЗЧИКОМ» обязательства по оплате услуг, предусмотренных настоящим договором, «ИСПОЛНИТЕЛЬ» вправе потребовать плату неустойки (штрафа, пеней). Неустойка начисляется в размере 0,1% от суммы долга за каждый день просрочки платежа.</w:t>
      </w:r>
    </w:p>
    <w:p>
      <w:pPr>
        <w:pStyle w:val="Normal"/>
        <w:ind w:left="0" w:right="0" w:firstLine="709"/>
        <w:jc w:val="both"/>
        <w:rPr>
          <w:sz w:val="25"/>
          <w:szCs w:val="25"/>
        </w:rPr>
      </w:pPr>
      <w:r>
        <w:rPr>
          <w:sz w:val="25"/>
          <w:szCs w:val="25"/>
        </w:rPr>
      </w:r>
    </w:p>
    <w:p>
      <w:pPr>
        <w:pStyle w:val="Normal"/>
        <w:ind w:left="0" w:right="0" w:firstLine="284"/>
        <w:jc w:val="center"/>
        <w:rPr/>
      </w:pPr>
      <w:r>
        <w:rPr>
          <w:b/>
          <w:sz w:val="25"/>
          <w:szCs w:val="25"/>
        </w:rPr>
        <w:t>6. ФОРС-МАЖОРНЫЕ ОБСТОЯТЕЛЬСТВА.</w:t>
      </w:r>
    </w:p>
    <w:p>
      <w:pPr>
        <w:pStyle w:val="Style25"/>
        <w:jc w:val="both"/>
        <w:rPr/>
      </w:pPr>
      <w:r>
        <w:rPr>
          <w:b/>
          <w:sz w:val="25"/>
          <w:szCs w:val="25"/>
        </w:rPr>
        <w:tab/>
      </w:r>
      <w:r>
        <w:rPr>
          <w:rFonts w:cs="Times New Roman" w:ascii="Times New Roman" w:hAnsi="Times New Roman"/>
          <w:sz w:val="25"/>
          <w:szCs w:val="25"/>
        </w:rPr>
        <w:t>6.1.</w:t>
      </w:r>
      <w:r>
        <w:rPr>
          <w:sz w:val="25"/>
          <w:szCs w:val="25"/>
        </w:rPr>
        <w:t xml:space="preserve"> </w:t>
      </w:r>
      <w:r>
        <w:rPr>
          <w:rFonts w:cs="Times New Roman" w:ascii="Times New Roman" w:hAnsi="Times New Roman"/>
          <w:sz w:val="25"/>
          <w:szCs w:val="25"/>
        </w:rPr>
        <w:t>Наличие форс-мажорных обстоятельств у одной из «СТОРОН»</w:t>
      </w:r>
      <w:r>
        <w:rPr>
          <w:sz w:val="25"/>
          <w:szCs w:val="25"/>
        </w:rPr>
        <w:t xml:space="preserve"> </w:t>
      </w:r>
      <w:r>
        <w:rPr>
          <w:rFonts w:cs="Times New Roman" w:ascii="Times New Roman" w:hAnsi="Times New Roman"/>
          <w:sz w:val="25"/>
          <w:szCs w:val="25"/>
        </w:rPr>
        <w:t>(обстоятельств непреодолимой силы, непредвиденных, неконтролируемых, непредсказуемых,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указов Президента РФ и постановлений Правительства РФ,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w:t>
      </w:r>
      <w:r>
        <w:rPr>
          <w:sz w:val="25"/>
          <w:szCs w:val="25"/>
        </w:rPr>
        <w:t xml:space="preserve"> </w:t>
      </w:r>
      <w:r>
        <w:rPr>
          <w:rFonts w:cs="Times New Roman" w:ascii="Times New Roman" w:hAnsi="Times New Roman"/>
          <w:sz w:val="25"/>
          <w:szCs w:val="25"/>
        </w:rPr>
        <w:t>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принятых на себя обязательств по настоящему договору. Срок исполнения обязательств сдвигается соразмерно времени, в течение которого будут действовать такие обстоятельства.</w:t>
      </w:r>
    </w:p>
    <w:p>
      <w:pPr>
        <w:pStyle w:val="Style25"/>
        <w:jc w:val="both"/>
        <w:rPr>
          <w:rFonts w:ascii="Times New Roman" w:hAnsi="Times New Roman" w:cs="Times New Roman"/>
          <w:sz w:val="25"/>
          <w:szCs w:val="25"/>
        </w:rPr>
      </w:pPr>
      <w:r>
        <w:rPr>
          <w:rFonts w:cs="Times New Roman" w:ascii="Times New Roman" w:hAnsi="Times New Roman"/>
          <w:sz w:val="25"/>
          <w:szCs w:val="25"/>
        </w:rPr>
      </w:r>
    </w:p>
    <w:p>
      <w:pPr>
        <w:pStyle w:val="Normal"/>
        <w:ind w:left="0" w:right="0" w:firstLine="709"/>
        <w:jc w:val="center"/>
        <w:rPr/>
      </w:pPr>
      <w:r>
        <w:rPr>
          <w:b/>
          <w:sz w:val="25"/>
          <w:szCs w:val="25"/>
        </w:rPr>
        <w:t>7. ПРАВА «СТОРОН» И ДОПОЛНИТЕЛЬНЫЕ УСЛОВИЯ.</w:t>
      </w:r>
    </w:p>
    <w:p>
      <w:pPr>
        <w:pStyle w:val="Normal"/>
        <w:ind w:left="0" w:right="0" w:firstLine="709"/>
        <w:jc w:val="both"/>
        <w:rPr/>
      </w:pPr>
      <w:r>
        <w:rPr>
          <w:sz w:val="25"/>
          <w:szCs w:val="25"/>
        </w:rPr>
        <w:t>7.1. В случае невозможности оказания «ИСПОЛНИТЕЛЕМ»  предусмотренных настоящим договором услуг, возникшей по вине «ЗАКАЗЧИКА», «ИСПОЛНИТЕЛЬ» вправе потребовать оплаты услуг в полном объеме за время вынужденного невыполнения услуг по настоящему договору.</w:t>
      </w:r>
    </w:p>
    <w:p>
      <w:pPr>
        <w:pStyle w:val="Normal"/>
        <w:ind w:left="0" w:right="0" w:firstLine="709"/>
        <w:jc w:val="both"/>
        <w:rPr/>
      </w:pPr>
      <w:r>
        <w:rPr>
          <w:sz w:val="25"/>
          <w:szCs w:val="25"/>
        </w:rPr>
        <w:t>7.2.  В случае не прибытия «ИСПОЛНИТЕЛЯ» на охраняемый объект по сигналу Тревога из-за неисправности ТСО, отсутствия денежных средств на счете оператора сотовой связи, действия «ИСПОЛНИТЕЛЯ» не могут расцениваться «СТОРОНАМИ» как неисполнение обязательств, принятых на себя по настоящему договору.</w:t>
      </w:r>
    </w:p>
    <w:p>
      <w:pPr>
        <w:pStyle w:val="Normal"/>
        <w:ind w:left="0" w:right="0" w:firstLine="709"/>
        <w:jc w:val="both"/>
        <w:rPr>
          <w:sz w:val="25"/>
          <w:szCs w:val="25"/>
        </w:rPr>
      </w:pPr>
      <w:r>
        <w:rPr>
          <w:b/>
          <w:sz w:val="25"/>
          <w:szCs w:val="25"/>
        </w:rPr>
      </w:r>
    </w:p>
    <w:p>
      <w:pPr>
        <w:pStyle w:val="Normal"/>
        <w:rPr/>
      </w:pPr>
      <w:r>
        <w:rPr>
          <w:b/>
          <w:sz w:val="25"/>
          <w:szCs w:val="25"/>
        </w:rPr>
        <w:t xml:space="preserve">                                                         </w:t>
      </w:r>
      <w:r>
        <w:rPr>
          <w:b/>
          <w:sz w:val="25"/>
          <w:szCs w:val="25"/>
        </w:rPr>
        <w:t>8. СРОК ДЕЙСТВИЯ ДОГОВОРА.</w:t>
      </w:r>
    </w:p>
    <w:p>
      <w:pPr>
        <w:pStyle w:val="Normal"/>
        <w:ind w:left="0" w:right="0" w:firstLine="709"/>
        <w:jc w:val="both"/>
        <w:rPr/>
      </w:pPr>
      <w:r>
        <w:rPr>
          <w:b/>
          <w:sz w:val="25"/>
          <w:szCs w:val="25"/>
        </w:rPr>
        <w:t xml:space="preserve">                 </w:t>
      </w:r>
      <w:r>
        <w:rPr>
          <w:b/>
          <w:sz w:val="25"/>
          <w:szCs w:val="25"/>
        </w:rPr>
        <w:t>ОСНОВАНИЯ ИЗМЕНЕНИЯ И РАСТОРЖЕНИЯ ДОГОВОРА.</w:t>
      </w:r>
    </w:p>
    <w:p>
      <w:pPr>
        <w:pStyle w:val="Style24"/>
        <w:spacing w:lineRule="auto" w:line="240"/>
        <w:rPr/>
      </w:pPr>
      <w:r>
        <w:rPr>
          <w:sz w:val="25"/>
          <w:szCs w:val="25"/>
        </w:rPr>
        <w:t>8.1. Настоящий договор вступает в силу с момента его подписания уполномоченными представителями «СТОРОН» и заключается «СТОРОНАМИ» сроком на один год. Если за 1 месяц до окончания срока действия договора ни одна из СТОРОН не заявит о его расторжении, договор считается пролонгированным на тот же срок. Количество пролонгаций не ограничено.</w:t>
      </w:r>
    </w:p>
    <w:p>
      <w:pPr>
        <w:pStyle w:val="Style24"/>
        <w:spacing w:lineRule="auto" w:line="240"/>
        <w:rPr/>
      </w:pPr>
      <w:r>
        <w:rPr>
          <w:sz w:val="25"/>
          <w:szCs w:val="25"/>
        </w:rPr>
        <w:t xml:space="preserve">8.2. Вносимые дополнения и изменения в договор, рассматриваются «СТОРОНАМИ» и оформляются дополнительным соглашением, не зависимо от того в отношении какой из «СТОРОН» вносятся изменения. В случаях возникновения необходимости внести дополнения и изменения в Приложение к Договору оформляется  и подписывается новое Приложение, которое становится его неотъемлемой частью               без оформления дополнительного соглашения к Договору. </w:t>
      </w:r>
    </w:p>
    <w:p>
      <w:pPr>
        <w:pStyle w:val="Normal"/>
        <w:ind w:left="0" w:right="0" w:firstLine="709"/>
        <w:jc w:val="both"/>
        <w:rPr/>
      </w:pPr>
      <w:r>
        <w:rPr>
          <w:sz w:val="25"/>
          <w:szCs w:val="25"/>
        </w:rPr>
        <w:t>8.3. «ИСПОЛНИТЕЛЬ» имеет право изменить тарифы на оказываемые им услуги.</w:t>
      </w:r>
    </w:p>
    <w:p>
      <w:pPr>
        <w:pStyle w:val="Normal"/>
        <w:ind w:left="0" w:right="0" w:firstLine="709"/>
        <w:jc w:val="both"/>
        <w:rPr/>
      </w:pPr>
      <w:r>
        <w:rPr>
          <w:sz w:val="25"/>
          <w:szCs w:val="25"/>
        </w:rPr>
        <w:t xml:space="preserve"> </w:t>
      </w:r>
      <w:r>
        <w:rPr>
          <w:sz w:val="25"/>
          <w:szCs w:val="25"/>
        </w:rPr>
        <w:t>В связи с изменениями тарифов «ИСПОЛНИТЕЛЯ» сумма по настоящему Договору изменяется с выполнением условий указанных в п. 8.4. настоящего Договора.</w:t>
      </w:r>
    </w:p>
    <w:p>
      <w:pPr>
        <w:pStyle w:val="Normal"/>
        <w:ind w:left="0" w:right="0" w:firstLine="709"/>
        <w:jc w:val="both"/>
        <w:rPr/>
      </w:pPr>
      <w:r>
        <w:rPr>
          <w:sz w:val="25"/>
          <w:szCs w:val="25"/>
        </w:rPr>
        <w:t xml:space="preserve">8.4. Сумма Договора может быть изменена «ИСПОЛНИТЕЛЕМ» </w:t>
      </w:r>
      <w:r>
        <w:rPr>
          <w:sz w:val="25"/>
          <w:szCs w:val="25"/>
        </w:rPr>
        <w:t>в</w:t>
      </w:r>
      <w:r>
        <w:rPr>
          <w:sz w:val="25"/>
          <w:szCs w:val="25"/>
        </w:rPr>
        <w:t xml:space="preserve"> связи                          с изменением тарифов на оказываемые ими услуги по настоящему Договору по письменному согласованию с «ЗАКАЗЧИКОМ» на основании действующего гражданского законодательства. </w:t>
      </w:r>
    </w:p>
    <w:p>
      <w:pPr>
        <w:pStyle w:val="Normal"/>
        <w:ind w:left="0" w:right="0" w:firstLine="709"/>
        <w:jc w:val="both"/>
        <w:rPr/>
      </w:pPr>
      <w:r>
        <w:rPr>
          <w:sz w:val="25"/>
          <w:szCs w:val="25"/>
        </w:rPr>
        <w:t>Если по истечении 10 календарных дней с момента письменного уведомления «ИСПОЛНИТЕЛЕМ»  «ЗАКАЗЧИКА» об изменении тарифов последний продолжает пользоваться услугами, предоставляемыми «ИСПОЛНИТЕЛЕМ» в соответствии с настоящим Договором, то новый тариф считается принятым «ЗАКАЗЧИКОМ». В случае несогласия «ЗАКАЗЧИКА» с новыми тарифами, он письменно, в срок не более                     10 календарных дней с момента получения письменного уведомления об изменении тарифов, обязан уведомить об этом «ИСПОЛНИТЕЛЯ».</w:t>
      </w:r>
    </w:p>
    <w:p>
      <w:pPr>
        <w:pStyle w:val="Normal"/>
        <w:ind w:left="0" w:right="0" w:firstLine="709"/>
        <w:jc w:val="both"/>
        <w:rPr/>
      </w:pPr>
      <w:r>
        <w:rPr>
          <w:sz w:val="25"/>
          <w:szCs w:val="25"/>
        </w:rPr>
        <w:t xml:space="preserve"> </w:t>
      </w:r>
      <w:r>
        <w:rPr>
          <w:sz w:val="25"/>
          <w:szCs w:val="25"/>
        </w:rPr>
        <w:t xml:space="preserve">8.5. «ИСПОЛНИТЕЛЬ» имеет право в одностороннем порядке расторгнуть настоящий Договор или временно прекратить исполнение обязательств по нему, со дня официального уведомления об этом «ЗАКАЗЧИКА», в случаях невыполнения «ЗАКАЗЧИКОМ» в установленные сроки обязательств или предписаний «ИСПОЛНИТЕЛЯ», указанных в акте обследования, а также при невыполнении п. 5.2. включая случаи отказа «ЗАКАЗЧИКА» от перезаключения Договора по новым тарифам. </w:t>
      </w:r>
    </w:p>
    <w:p>
      <w:pPr>
        <w:pStyle w:val="Style24"/>
        <w:spacing w:lineRule="auto" w:line="240"/>
        <w:rPr/>
      </w:pPr>
      <w:r>
        <w:rPr>
          <w:sz w:val="25"/>
          <w:szCs w:val="25"/>
        </w:rPr>
        <w:t xml:space="preserve"> </w:t>
      </w:r>
      <w:r>
        <w:rPr>
          <w:sz w:val="25"/>
          <w:szCs w:val="25"/>
        </w:rPr>
        <w:t>8.6.  По всем вопросам, не урегулированным настоящим Договором, «СТОРОНЫ» руководствуются действующим законодательством Российской Федерации. Все споры между «СТОРОНАМИ», по которым не достигнуто соглашение, разрешаются в соответствии с законодательством Российской Федерации в Арбитражном суде Республики Мордовия.</w:t>
      </w:r>
    </w:p>
    <w:p>
      <w:pPr>
        <w:pStyle w:val="Style24"/>
        <w:spacing w:lineRule="auto" w:line="240"/>
        <w:rPr/>
      </w:pPr>
      <w:r>
        <w:rPr>
          <w:sz w:val="25"/>
          <w:szCs w:val="25"/>
        </w:rPr>
        <w:t>8.7. «ИСПОЛНИТЕЛЬ»  вправе временно приостановить предоставление услуг по настоящему Договору, при получении информации от «ЗАКАЗЧИКА» о наличии спора о праве собственности и управления имуществом, находящимся во владении «ЗАКАЗЧИКА» и являющимся Объектом по настоящему Договору, до момента разрешения спора в предусмотренном законом порядке.</w:t>
      </w:r>
    </w:p>
    <w:p>
      <w:pPr>
        <w:pStyle w:val="Normal"/>
        <w:ind w:left="0" w:right="0" w:firstLine="709"/>
        <w:jc w:val="both"/>
        <w:rPr/>
      </w:pPr>
      <w:r>
        <w:rPr>
          <w:sz w:val="25"/>
          <w:szCs w:val="25"/>
        </w:rPr>
        <w:t>8.8. Договор составлен в двух экземплярах, имеющих одинаковую юридическую силу, по одному экземпляру для каждой из «СТОРОН» настоящего Договора.</w:t>
      </w:r>
    </w:p>
    <w:p>
      <w:pPr>
        <w:pStyle w:val="Normal"/>
        <w:ind w:left="0" w:right="0" w:firstLine="709"/>
        <w:jc w:val="both"/>
        <w:rPr>
          <w:sz w:val="25"/>
          <w:szCs w:val="25"/>
        </w:rPr>
      </w:pPr>
      <w:r>
        <w:rPr/>
      </w:r>
    </w:p>
    <w:p>
      <w:pPr>
        <w:pStyle w:val="Normal"/>
        <w:rPr/>
      </w:pPr>
      <w:r>
        <w:rPr>
          <w:sz w:val="25"/>
          <w:szCs w:val="25"/>
        </w:rPr>
        <w:t>ПРИЛОЖЕНИЕ №1: Перечень охраняемых объектов.</w:t>
      </w:r>
    </w:p>
    <w:p>
      <w:pPr>
        <w:pStyle w:val="Normal"/>
        <w:rPr/>
      </w:pPr>
      <w:r>
        <w:rPr>
          <w:sz w:val="25"/>
          <w:szCs w:val="25"/>
        </w:rPr>
        <w:t xml:space="preserve"> </w:t>
      </w:r>
    </w:p>
    <w:p>
      <w:pPr>
        <w:pStyle w:val="Style25"/>
        <w:jc w:val="center"/>
        <w:rPr/>
      </w:pPr>
      <w:r>
        <w:rPr>
          <w:rFonts w:cs="Times New Roman" w:ascii="Times New Roman" w:hAnsi="Times New Roman"/>
          <w:b/>
          <w:sz w:val="25"/>
          <w:szCs w:val="25"/>
        </w:rPr>
        <w:t xml:space="preserve">9. </w:t>
      </w:r>
      <w:r>
        <w:rPr>
          <w:rFonts w:ascii="Times New Roman" w:hAnsi="Times New Roman"/>
          <w:b/>
          <w:sz w:val="25"/>
          <w:szCs w:val="25"/>
        </w:rPr>
        <w:t>Ю</w:t>
      </w:r>
      <w:r>
        <w:rPr>
          <w:rFonts w:cs="Times New Roman" w:ascii="Times New Roman" w:hAnsi="Times New Roman"/>
          <w:b/>
          <w:sz w:val="25"/>
          <w:szCs w:val="25"/>
        </w:rPr>
        <w:t>РИДИЧЕСКИЕ АДРЕСА,  ФАКТИЧЕСКОЕ МЕСТОНАХОЖДЕНИЕ,</w:t>
      </w:r>
    </w:p>
    <w:p>
      <w:pPr>
        <w:pStyle w:val="Style25"/>
        <w:rPr>
          <w:rFonts w:ascii="Times New Roman" w:hAnsi="Times New Roman" w:eastAsia="Times New Roman" w:cs="Times New Roman"/>
          <w:b/>
          <w:b/>
          <w:color w:val="auto"/>
          <w:kern w:val="0"/>
          <w:sz w:val="25"/>
          <w:szCs w:val="25"/>
          <w:lang w:val="ru-RU" w:eastAsia="zh-CN" w:bidi="ar-SA"/>
        </w:rPr>
      </w:pPr>
      <w:r>
        <w:rPr>
          <w:rFonts w:eastAsia="Times New Roman" w:cs="Times New Roman" w:ascii="Times New Roman" w:hAnsi="Times New Roman"/>
          <w:b/>
          <w:color w:val="auto"/>
          <w:kern w:val="0"/>
          <w:sz w:val="25"/>
          <w:szCs w:val="25"/>
          <w:lang w:val="ru-RU" w:eastAsia="zh-CN" w:bidi="ar-SA"/>
        </w:rPr>
        <w:t xml:space="preserve">                             </w:t>
      </w:r>
      <w:r>
        <w:rPr>
          <w:rFonts w:eastAsia="Times New Roman" w:cs="Times New Roman" w:ascii="Times New Roman" w:hAnsi="Times New Roman"/>
          <w:b/>
          <w:color w:val="auto"/>
          <w:kern w:val="0"/>
          <w:sz w:val="25"/>
          <w:szCs w:val="25"/>
          <w:lang w:val="ru-RU" w:eastAsia="zh-CN" w:bidi="ar-SA"/>
        </w:rPr>
        <w:t>БАНКОВСКИЕ РЕКВИЗИТЫ и ПОДПИСИ «СТОРОН».</w:t>
      </w:r>
    </w:p>
    <w:p>
      <w:pPr>
        <w:pStyle w:val="Style25"/>
        <w:rPr/>
      </w:pPr>
      <w:r>
        <w:rPr/>
      </w:r>
    </w:p>
    <w:p>
      <w:pPr>
        <w:pStyle w:val="Normal"/>
        <w:rPr/>
      </w:pPr>
      <w:r>
        <w:rPr>
          <w:sz w:val="22"/>
          <w:szCs w:val="22"/>
        </w:rPr>
        <w:t>«ЗАКАЗЧИК»             ________________________________________________________________</w:t>
      </w:r>
    </w:p>
    <w:p>
      <w:pPr>
        <w:pStyle w:val="Normal"/>
        <w:rPr/>
      </w:pPr>
      <w:r>
        <w:rPr>
          <w:sz w:val="22"/>
          <w:szCs w:val="22"/>
        </w:rPr>
        <w:t xml:space="preserve">                                 </w:t>
      </w:r>
    </w:p>
    <w:p>
      <w:pPr>
        <w:pStyle w:val="Normal"/>
        <w:rPr/>
      </w:pPr>
      <w:r>
        <w:rPr>
          <w:sz w:val="22"/>
          <w:szCs w:val="22"/>
        </w:rPr>
        <w:t>«ИСПОЛНИТЕЛЬ»   ________________________________________________________________</w:t>
      </w:r>
    </w:p>
    <w:p>
      <w:pPr>
        <w:pStyle w:val="Normal"/>
        <w:rPr/>
      </w:pPr>
      <w:r>
        <w:rPr>
          <w:sz w:val="22"/>
          <w:szCs w:val="22"/>
        </w:rPr>
        <w:t xml:space="preserve">                                  </w:t>
      </w:r>
    </w:p>
    <w:p>
      <w:pPr>
        <w:pStyle w:val="Normal"/>
        <w:rPr>
          <w:sz w:val="22"/>
          <w:szCs w:val="22"/>
        </w:rPr>
      </w:pPr>
      <w:r>
        <w:rPr/>
      </w:r>
    </w:p>
    <w:p>
      <w:pPr>
        <w:pStyle w:val="23"/>
        <w:ind w:left="0" w:right="0" w:hanging="0"/>
        <w:rPr/>
      </w:pPr>
      <w:r>
        <w:rPr>
          <w:sz w:val="22"/>
          <w:szCs w:val="22"/>
        </w:rPr>
        <w:t xml:space="preserve">      </w:t>
      </w:r>
      <w:r>
        <w:rPr>
          <w:sz w:val="22"/>
          <w:szCs w:val="22"/>
        </w:rPr>
        <w:t>«ИСПОЛНИТЕЛЬ»                                                         «ЗАКАЗЧИК»</w:t>
      </w:r>
    </w:p>
    <w:p>
      <w:pPr>
        <w:pStyle w:val="23"/>
        <w:ind w:left="0" w:right="0" w:hanging="0"/>
        <w:rPr/>
      </w:pPr>
      <w:r>
        <w:rPr>
          <w:sz w:val="22"/>
          <w:szCs w:val="22"/>
        </w:rPr>
        <w:t xml:space="preserve">                                             </w:t>
      </w:r>
    </w:p>
    <w:p>
      <w:pPr>
        <w:pStyle w:val="23"/>
        <w:ind w:left="0" w:right="0" w:hanging="0"/>
        <w:rPr/>
      </w:pPr>
      <w:r>
        <w:rPr>
          <w:sz w:val="22"/>
          <w:szCs w:val="22"/>
        </w:rPr>
        <w:t xml:space="preserve">       </w:t>
      </w:r>
    </w:p>
    <w:p>
      <w:pPr>
        <w:pStyle w:val="23"/>
        <w:ind w:left="0" w:right="0" w:hanging="0"/>
        <w:rPr/>
      </w:pPr>
      <w:r>
        <w:rPr>
          <w:sz w:val="22"/>
          <w:szCs w:val="22"/>
        </w:rPr>
        <w:tab/>
        <w:tab/>
        <w:tab/>
        <w:tab/>
        <w:tab/>
        <w:tab/>
        <w:t xml:space="preserve">   </w:t>
        <w:tab/>
        <w:tab/>
        <w:tab/>
        <w:tab/>
        <w:tab/>
        <w:t>_________________ _______________                      ___________________ _______________</w:t>
      </w:r>
    </w:p>
    <w:p>
      <w:pPr>
        <w:sectPr>
          <w:headerReference w:type="default" r:id="rId2"/>
          <w:headerReference w:type="first" r:id="rId3"/>
          <w:type w:val="nextPage"/>
          <w:pgSz w:w="11906" w:h="16838"/>
          <w:pgMar w:left="1701" w:right="567" w:header="720" w:top="1134" w:footer="0" w:bottom="1134" w:gutter="0"/>
          <w:pgNumType w:fmt="decimal"/>
          <w:formProt w:val="false"/>
          <w:titlePg/>
          <w:textDirection w:val="lrTb"/>
          <w:docGrid w:type="default" w:linePitch="360" w:charSpace="0"/>
        </w:sectPr>
        <w:pStyle w:val="23"/>
        <w:tabs>
          <w:tab w:val="clear" w:pos="708"/>
          <w:tab w:val="center" w:pos="5141" w:leader="none"/>
        </w:tabs>
        <w:rPr/>
      </w:pPr>
      <w:r>
        <w:rPr>
          <w:sz w:val="22"/>
          <w:szCs w:val="22"/>
        </w:rPr>
        <w:t>М.П.</w:t>
        <w:tab/>
        <w:t xml:space="preserve">             М.П.</w:t>
      </w:r>
    </w:p>
    <w:p>
      <w:pPr>
        <w:pStyle w:val="Style12"/>
        <w:ind w:left="8647" w:right="0" w:hanging="0"/>
        <w:jc w:val="both"/>
        <w:rPr>
          <w:rFonts w:ascii="Times New Roman" w:hAnsi="Times New Roman"/>
        </w:rPr>
      </w:pPr>
      <w:r>
        <w:rPr>
          <w:b w:val="false"/>
          <w:sz w:val="20"/>
        </w:rPr>
        <w:t>Приложение № 1</w:t>
      </w:r>
    </w:p>
    <w:p>
      <w:pPr>
        <w:pStyle w:val="Style12"/>
        <w:tabs>
          <w:tab w:val="clear" w:pos="708"/>
          <w:tab w:val="left" w:pos="5103" w:leader="none"/>
        </w:tabs>
        <w:ind w:left="8647" w:right="0" w:hanging="0"/>
        <w:jc w:val="both"/>
        <w:rPr>
          <w:rFonts w:ascii="Times New Roman" w:hAnsi="Times New Roman"/>
        </w:rPr>
      </w:pPr>
      <w:r>
        <w:rPr>
          <w:b w:val="false"/>
          <w:sz w:val="20"/>
        </w:rPr>
        <w:t>к договору</w:t>
      </w:r>
      <w:r>
        <w:rPr>
          <w:b w:val="false"/>
          <w:sz w:val="20"/>
        </w:rPr>
        <w:t xml:space="preserve"> </w:t>
      </w:r>
      <w:r>
        <w:rPr>
          <w:b w:val="false"/>
          <w:sz w:val="20"/>
        </w:rPr>
        <w:t>от  «___» ________________202_____ г. № _________</w:t>
      </w:r>
    </w:p>
    <w:p>
      <w:pPr>
        <w:pStyle w:val="Style13"/>
        <w:tabs>
          <w:tab w:val="clear" w:pos="708"/>
          <w:tab w:val="left" w:pos="5103" w:leader="none"/>
        </w:tabs>
        <w:ind w:left="8647" w:right="0" w:hanging="0"/>
        <w:jc w:val="both"/>
        <w:rPr>
          <w:rFonts w:ascii="Times New Roman" w:hAnsi="Times New Roman"/>
          <w:b w:val="false"/>
          <w:b w:val="false"/>
          <w:sz w:val="20"/>
        </w:rPr>
      </w:pPr>
      <w:r>
        <w:rPr>
          <w:b w:val="false"/>
          <w:sz w:val="20"/>
        </w:rPr>
      </w:r>
    </w:p>
    <w:p>
      <w:pPr>
        <w:pStyle w:val="Style12"/>
        <w:rPr>
          <w:b w:val="false"/>
          <w:b w:val="false"/>
          <w:sz w:val="20"/>
        </w:rPr>
      </w:pPr>
      <w:r>
        <w:rPr>
          <w:b w:val="false"/>
          <w:sz w:val="20"/>
        </w:rPr>
      </w:r>
    </w:p>
    <w:p>
      <w:pPr>
        <w:pStyle w:val="Style12"/>
        <w:jc w:val="center"/>
        <w:rPr>
          <w:rFonts w:ascii="Times New Roman" w:hAnsi="Times New Roman"/>
        </w:rPr>
      </w:pPr>
      <w:r>
        <w:rPr>
          <w:b w:val="false"/>
        </w:rPr>
        <w:t xml:space="preserve">ПЕРЕЧЕНЬ ОХРАНЯЕМЫХ ОБЪЕКТОВ </w:t>
      </w:r>
    </w:p>
    <w:p>
      <w:pPr>
        <w:pStyle w:val="Style12"/>
        <w:jc w:val="center"/>
        <w:rPr>
          <w:rFonts w:ascii="Times New Roman" w:hAnsi="Times New Roman"/>
        </w:rPr>
      </w:pPr>
      <w:r>
        <w:rPr>
          <w:b w:val="false"/>
        </w:rPr>
        <w:t xml:space="preserve"> </w:t>
      </w:r>
      <w:r>
        <w:rPr>
          <w:b w:val="false"/>
        </w:rPr>
        <w:t>с «___» ________________ 202____ г.</w:t>
      </w:r>
    </w:p>
    <w:p>
      <w:pPr>
        <w:pStyle w:val="Style13"/>
        <w:rPr>
          <w:b w:val="false"/>
          <w:b w:val="false"/>
        </w:rPr>
      </w:pPr>
      <w:r>
        <w:rPr>
          <w:b w:val="false"/>
        </w:rPr>
      </w:r>
    </w:p>
    <w:tbl>
      <w:tblPr>
        <w:tblW w:w="15009" w:type="dxa"/>
        <w:jc w:val="left"/>
        <w:tblInd w:w="-178" w:type="dxa"/>
        <w:tblCellMar>
          <w:top w:w="0" w:type="dxa"/>
          <w:left w:w="108" w:type="dxa"/>
          <w:bottom w:w="0" w:type="dxa"/>
          <w:right w:w="108" w:type="dxa"/>
        </w:tblCellMar>
        <w:tblLook w:val="04a0" w:noVBand="1" w:noHBand="0" w:lastColumn="0" w:firstColumn="1" w:lastRow="0" w:firstRow="1"/>
      </w:tblPr>
      <w:tblGrid>
        <w:gridCol w:w="391"/>
        <w:gridCol w:w="2363"/>
        <w:gridCol w:w="2407"/>
        <w:gridCol w:w="1466"/>
        <w:gridCol w:w="1702"/>
        <w:gridCol w:w="1709"/>
        <w:gridCol w:w="1292"/>
        <w:gridCol w:w="1417"/>
        <w:gridCol w:w="1274"/>
        <w:gridCol w:w="986"/>
      </w:tblGrid>
      <w:tr>
        <w:trPr>
          <w:cantSplit w:val="true"/>
        </w:trPr>
        <w:tc>
          <w:tcPr>
            <w:tcW w:w="391"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pPr>
            <w:r>
              <w:rPr>
                <w:sz w:val="20"/>
              </w:rPr>
              <w:t xml:space="preserve">№ </w:t>
            </w:r>
            <w:r>
              <w:rPr>
                <w:sz w:val="20"/>
              </w:rPr>
              <w:t>п/п</w:t>
            </w:r>
          </w:p>
        </w:tc>
        <w:tc>
          <w:tcPr>
            <w:tcW w:w="2363"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pPr>
            <w:r>
              <w:rPr>
                <w:sz w:val="20"/>
              </w:rPr>
              <w:t>Наименование объекта и обособленных помещений</w:t>
            </w:r>
          </w:p>
        </w:tc>
        <w:tc>
          <w:tcPr>
            <w:tcW w:w="2407" w:type="dxa"/>
            <w:vMerge w:val="restart"/>
            <w:tcBorders>
              <w:top w:val="single" w:sz="4" w:space="0" w:color="000000"/>
              <w:left w:val="single" w:sz="4" w:space="0" w:color="000000"/>
              <w:bottom w:val="single" w:sz="4" w:space="0" w:color="000000"/>
            </w:tcBorders>
            <w:vAlign w:val="center"/>
          </w:tcPr>
          <w:p>
            <w:pPr>
              <w:pStyle w:val="Normal"/>
              <w:jc w:val="center"/>
              <w:rPr/>
            </w:pPr>
            <w:r>
              <w:rPr>
                <w:sz w:val="20"/>
              </w:rPr>
              <w:t>Адрес</w:t>
            </w:r>
          </w:p>
        </w:tc>
        <w:tc>
          <w:tcPr>
            <w:tcW w:w="1466" w:type="dxa"/>
            <w:vMerge w:val="restart"/>
            <w:tcBorders>
              <w:top w:val="single" w:sz="4" w:space="0" w:color="000000"/>
              <w:left w:val="single" w:sz="4" w:space="0" w:color="000000"/>
              <w:bottom w:val="single" w:sz="4" w:space="0" w:color="000000"/>
            </w:tcBorders>
            <w:vAlign w:val="center"/>
          </w:tcPr>
          <w:p>
            <w:pPr>
              <w:pStyle w:val="Normal"/>
              <w:jc w:val="center"/>
              <w:rPr/>
            </w:pPr>
            <w:r>
              <w:rPr>
                <w:sz w:val="20"/>
              </w:rPr>
              <w:t>Вид охраны</w:t>
            </w:r>
          </w:p>
        </w:tc>
        <w:tc>
          <w:tcPr>
            <w:tcW w:w="3411" w:type="dxa"/>
            <w:gridSpan w:val="2"/>
            <w:tcBorders>
              <w:top w:val="single" w:sz="4" w:space="0" w:color="000000"/>
              <w:left w:val="single" w:sz="4" w:space="0" w:color="000000"/>
              <w:bottom w:val="single" w:sz="4" w:space="0" w:color="000000"/>
            </w:tcBorders>
            <w:vAlign w:val="center"/>
          </w:tcPr>
          <w:p>
            <w:pPr>
              <w:pStyle w:val="Normal"/>
              <w:jc w:val="center"/>
              <w:rPr/>
            </w:pPr>
            <w:r>
              <w:rPr>
                <w:sz w:val="20"/>
              </w:rPr>
              <w:t>Часы охраны</w:t>
            </w:r>
          </w:p>
        </w:tc>
        <w:tc>
          <w:tcPr>
            <w:tcW w:w="1292" w:type="dxa"/>
            <w:vMerge w:val="restart"/>
            <w:tcBorders>
              <w:top w:val="single" w:sz="4" w:space="0" w:color="000000"/>
              <w:left w:val="single" w:sz="4" w:space="0" w:color="000000"/>
              <w:bottom w:val="single" w:sz="4" w:space="0" w:color="000000"/>
            </w:tcBorders>
            <w:vAlign w:val="center"/>
          </w:tcPr>
          <w:p>
            <w:pPr>
              <w:pStyle w:val="Normal"/>
              <w:jc w:val="center"/>
              <w:rPr/>
            </w:pPr>
            <w:r>
              <w:rPr>
                <w:sz w:val="20"/>
              </w:rPr>
              <w:t>Всего часов охраны в месяц</w:t>
            </w:r>
          </w:p>
        </w:tc>
        <w:tc>
          <w:tcPr>
            <w:tcW w:w="1417" w:type="dxa"/>
            <w:vMerge w:val="restart"/>
            <w:tcBorders>
              <w:top w:val="single" w:sz="4" w:space="0" w:color="000000"/>
              <w:left w:val="single" w:sz="4" w:space="0" w:color="000000"/>
              <w:bottom w:val="single" w:sz="4" w:space="0" w:color="000000"/>
            </w:tcBorders>
            <w:vAlign w:val="center"/>
          </w:tcPr>
          <w:p>
            <w:pPr>
              <w:pStyle w:val="Normal"/>
              <w:ind w:left="0" w:right="-108" w:hanging="0"/>
              <w:jc w:val="center"/>
              <w:rPr/>
            </w:pPr>
            <w:r>
              <w:rPr>
                <w:sz w:val="20"/>
              </w:rPr>
              <w:t>Взимаемая  плата за 1 час охраны (согласно тарифа, руб.)</w:t>
            </w:r>
          </w:p>
        </w:tc>
        <w:tc>
          <w:tcPr>
            <w:tcW w:w="1274" w:type="dxa"/>
            <w:vMerge w:val="restart"/>
            <w:tcBorders>
              <w:top w:val="single" w:sz="4" w:space="0" w:color="000000"/>
              <w:left w:val="single" w:sz="4" w:space="0" w:color="000000"/>
              <w:bottom w:val="single" w:sz="4" w:space="0" w:color="000000"/>
            </w:tcBorders>
            <w:vAlign w:val="center"/>
          </w:tcPr>
          <w:p>
            <w:pPr>
              <w:pStyle w:val="Normal"/>
              <w:jc w:val="center"/>
              <w:rPr/>
            </w:pPr>
            <w:r>
              <w:rPr>
                <w:sz w:val="20"/>
              </w:rPr>
              <w:t>Взимаемая плата за охрану в месяц</w:t>
            </w:r>
          </w:p>
          <w:p>
            <w:pPr>
              <w:pStyle w:val="Normal"/>
              <w:jc w:val="center"/>
              <w:rPr/>
            </w:pPr>
            <w:r>
              <w:rPr>
                <w:sz w:val="20"/>
              </w:rPr>
              <w:t>(руб.)</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pPr>
            <w:r>
              <w:rPr>
                <w:sz w:val="20"/>
              </w:rPr>
              <w:t>Примечание</w:t>
            </w:r>
          </w:p>
        </w:tc>
      </w:tr>
      <w:tr>
        <w:trPr>
          <w:cantSplit w:val="true"/>
        </w:trPr>
        <w:tc>
          <w:tcPr>
            <w:tcW w:w="391"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363"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407"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66"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pPr>
            <w:r>
              <w:rPr>
                <w:sz w:val="20"/>
              </w:rPr>
              <w:t>В рабочие дни</w:t>
            </w:r>
          </w:p>
        </w:tc>
        <w:tc>
          <w:tcPr>
            <w:tcW w:w="1709" w:type="dxa"/>
            <w:tcBorders>
              <w:top w:val="single" w:sz="4" w:space="0" w:color="000000"/>
              <w:left w:val="single" w:sz="4" w:space="0" w:color="000000"/>
              <w:bottom w:val="single" w:sz="4" w:space="0" w:color="000000"/>
            </w:tcBorders>
            <w:vAlign w:val="center"/>
          </w:tcPr>
          <w:p>
            <w:pPr>
              <w:pStyle w:val="Normal"/>
              <w:jc w:val="center"/>
              <w:rPr/>
            </w:pPr>
            <w:r>
              <w:rPr>
                <w:sz w:val="20"/>
              </w:rPr>
              <w:t>В выходные и праздничные дни</w:t>
            </w:r>
          </w:p>
        </w:tc>
        <w:tc>
          <w:tcPr>
            <w:tcW w:w="1292"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17"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74" w:type="dxa"/>
            <w:vMerge w:val="continue"/>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98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jc w:val="center"/>
              <w:rPr>
                <w:sz w:val="20"/>
              </w:rPr>
            </w:pPr>
            <w:r>
              <w:rPr>
                <w:sz w:val="20"/>
              </w:rPr>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pPr>
            <w:r>
              <w:rPr>
                <w:sz w:val="20"/>
              </w:rPr>
              <w:t>1</w:t>
            </w:r>
          </w:p>
        </w:tc>
        <w:tc>
          <w:tcPr>
            <w:tcW w:w="2363" w:type="dxa"/>
            <w:tcBorders>
              <w:top w:val="single" w:sz="4" w:space="0" w:color="000000"/>
              <w:left w:val="single" w:sz="4" w:space="0" w:color="000000"/>
              <w:bottom w:val="single" w:sz="4" w:space="0" w:color="000000"/>
            </w:tcBorders>
            <w:vAlign w:val="center"/>
          </w:tcPr>
          <w:p>
            <w:pPr>
              <w:pStyle w:val="Normal"/>
              <w:jc w:val="center"/>
              <w:rPr/>
            </w:pPr>
            <w:r>
              <w:rPr>
                <w:sz w:val="20"/>
              </w:rPr>
              <w:t>2</w:t>
            </w:r>
          </w:p>
        </w:tc>
        <w:tc>
          <w:tcPr>
            <w:tcW w:w="2407" w:type="dxa"/>
            <w:tcBorders>
              <w:top w:val="single" w:sz="4" w:space="0" w:color="000000"/>
              <w:left w:val="single" w:sz="4" w:space="0" w:color="000000"/>
              <w:bottom w:val="single" w:sz="4" w:space="0" w:color="000000"/>
            </w:tcBorders>
            <w:vAlign w:val="center"/>
          </w:tcPr>
          <w:p>
            <w:pPr>
              <w:pStyle w:val="Normal"/>
              <w:jc w:val="center"/>
              <w:rPr/>
            </w:pPr>
            <w:r>
              <w:rPr>
                <w:sz w:val="20"/>
              </w:rPr>
              <w:t>3</w:t>
            </w:r>
          </w:p>
        </w:tc>
        <w:tc>
          <w:tcPr>
            <w:tcW w:w="1466" w:type="dxa"/>
            <w:tcBorders>
              <w:top w:val="single" w:sz="4" w:space="0" w:color="000000"/>
              <w:left w:val="single" w:sz="4" w:space="0" w:color="000000"/>
              <w:bottom w:val="single" w:sz="4" w:space="0" w:color="000000"/>
            </w:tcBorders>
            <w:vAlign w:val="center"/>
          </w:tcPr>
          <w:p>
            <w:pPr>
              <w:pStyle w:val="Normal"/>
              <w:jc w:val="center"/>
              <w:rPr/>
            </w:pPr>
            <w:r>
              <w:rPr>
                <w:sz w:val="20"/>
              </w:rPr>
              <w:t>4</w:t>
            </w:r>
          </w:p>
        </w:tc>
        <w:tc>
          <w:tcPr>
            <w:tcW w:w="1702" w:type="dxa"/>
            <w:tcBorders>
              <w:top w:val="single" w:sz="4" w:space="0" w:color="000000"/>
              <w:left w:val="single" w:sz="4" w:space="0" w:color="000000"/>
              <w:bottom w:val="single" w:sz="4" w:space="0" w:color="000000"/>
            </w:tcBorders>
            <w:vAlign w:val="center"/>
          </w:tcPr>
          <w:p>
            <w:pPr>
              <w:pStyle w:val="Normal"/>
              <w:jc w:val="center"/>
              <w:rPr/>
            </w:pPr>
            <w:r>
              <w:rPr>
                <w:sz w:val="20"/>
              </w:rPr>
              <w:t>5</w:t>
            </w:r>
          </w:p>
        </w:tc>
        <w:tc>
          <w:tcPr>
            <w:tcW w:w="1709" w:type="dxa"/>
            <w:tcBorders>
              <w:top w:val="single" w:sz="4" w:space="0" w:color="000000"/>
              <w:left w:val="single" w:sz="4" w:space="0" w:color="000000"/>
              <w:bottom w:val="single" w:sz="4" w:space="0" w:color="000000"/>
            </w:tcBorders>
            <w:vAlign w:val="center"/>
          </w:tcPr>
          <w:p>
            <w:pPr>
              <w:pStyle w:val="Normal"/>
              <w:jc w:val="center"/>
              <w:rPr/>
            </w:pPr>
            <w:r>
              <w:rPr>
                <w:sz w:val="20"/>
              </w:rPr>
              <w:t>6</w:t>
            </w:r>
          </w:p>
        </w:tc>
        <w:tc>
          <w:tcPr>
            <w:tcW w:w="1292" w:type="dxa"/>
            <w:tcBorders>
              <w:top w:val="single" w:sz="4" w:space="0" w:color="000000"/>
              <w:left w:val="single" w:sz="4" w:space="0" w:color="000000"/>
              <w:bottom w:val="single" w:sz="4" w:space="0" w:color="000000"/>
            </w:tcBorders>
            <w:vAlign w:val="center"/>
          </w:tcPr>
          <w:p>
            <w:pPr>
              <w:pStyle w:val="Normal"/>
              <w:jc w:val="center"/>
              <w:rPr/>
            </w:pPr>
            <w:r>
              <w:rPr>
                <w:sz w:val="20"/>
              </w:rPr>
              <w:t>7</w:t>
            </w:r>
          </w:p>
        </w:tc>
        <w:tc>
          <w:tcPr>
            <w:tcW w:w="1417" w:type="dxa"/>
            <w:tcBorders>
              <w:top w:val="single" w:sz="4" w:space="0" w:color="000000"/>
              <w:left w:val="single" w:sz="4" w:space="0" w:color="000000"/>
              <w:bottom w:val="single" w:sz="4" w:space="0" w:color="000000"/>
            </w:tcBorders>
            <w:vAlign w:val="center"/>
          </w:tcPr>
          <w:p>
            <w:pPr>
              <w:pStyle w:val="Normal"/>
              <w:jc w:val="center"/>
              <w:rPr/>
            </w:pPr>
            <w:r>
              <w:rPr>
                <w:sz w:val="20"/>
              </w:rPr>
              <w:t>8</w:t>
            </w:r>
          </w:p>
        </w:tc>
        <w:tc>
          <w:tcPr>
            <w:tcW w:w="1274" w:type="dxa"/>
            <w:tcBorders>
              <w:top w:val="single" w:sz="4" w:space="0" w:color="000000"/>
              <w:left w:val="single" w:sz="4" w:space="0" w:color="000000"/>
              <w:bottom w:val="single" w:sz="4" w:space="0" w:color="000000"/>
            </w:tcBorders>
            <w:vAlign w:val="center"/>
          </w:tcPr>
          <w:p>
            <w:pPr>
              <w:pStyle w:val="Normal"/>
              <w:jc w:val="center"/>
              <w:rPr/>
            </w:pPr>
            <w:r>
              <w:rPr>
                <w:sz w:val="20"/>
              </w:rPr>
              <w:t>9</w:t>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pPr>
            <w:r>
              <w:rPr>
                <w:sz w:val="20"/>
              </w:rPr>
              <w:t>10</w:t>
            </w:r>
          </w:p>
        </w:tc>
      </w:tr>
      <w:tr>
        <w:trPr>
          <w:trHeight w:val="439" w:hRule="atLeast"/>
        </w:trPr>
        <w:tc>
          <w:tcPr>
            <w:tcW w:w="391" w:type="dxa"/>
            <w:tcBorders>
              <w:top w:val="single" w:sz="4" w:space="0" w:color="000000"/>
              <w:left w:val="single" w:sz="4" w:space="0" w:color="000000"/>
              <w:bottom w:val="single" w:sz="4" w:space="0" w:color="000000"/>
            </w:tcBorders>
            <w:vAlign w:val="center"/>
          </w:tcPr>
          <w:p>
            <w:pPr>
              <w:pStyle w:val="Normal"/>
              <w:jc w:val="center"/>
              <w:rPr>
                <w:sz w:val="20"/>
              </w:rPr>
            </w:pPr>
            <w:r>
              <w:rPr/>
            </w:r>
          </w:p>
        </w:tc>
        <w:tc>
          <w:tcPr>
            <w:tcW w:w="2363"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2407"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66"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2"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709"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92"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417"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1274" w:type="dxa"/>
            <w:tcBorders>
              <w:top w:val="single" w:sz="4" w:space="0" w:color="000000"/>
              <w:left w:val="single" w:sz="4" w:space="0" w:color="000000"/>
              <w:bottom w:val="single" w:sz="4" w:space="0" w:color="000000"/>
            </w:tcBorders>
            <w:vAlign w:val="center"/>
          </w:tcPr>
          <w:p>
            <w:pPr>
              <w:pStyle w:val="Normal"/>
              <w:jc w:val="center"/>
              <w:rPr>
                <w:sz w:val="20"/>
              </w:rPr>
            </w:pPr>
            <w:r>
              <w:rPr>
                <w:sz w:val="20"/>
              </w:rPr>
            </w:r>
          </w:p>
        </w:tc>
        <w:tc>
          <w:tcPr>
            <w:tcW w:w="986" w:type="dxa"/>
            <w:tcBorders>
              <w:top w:val="single" w:sz="4" w:space="0" w:color="000000"/>
              <w:left w:val="single" w:sz="4" w:space="0" w:color="000000"/>
              <w:bottom w:val="single" w:sz="4" w:space="0" w:color="000000"/>
              <w:right w:val="single" w:sz="4" w:space="0" w:color="000000"/>
            </w:tcBorders>
            <w:vAlign w:val="center"/>
          </w:tcPr>
          <w:p>
            <w:pPr>
              <w:pStyle w:val="Normal"/>
              <w:jc w:val="center"/>
              <w:rPr>
                <w:sz w:val="20"/>
              </w:rPr>
            </w:pPr>
            <w:r>
              <w:rPr>
                <w:sz w:val="20"/>
              </w:rPr>
            </w:r>
          </w:p>
        </w:tc>
      </w:tr>
      <w:tr>
        <w:trPr>
          <w:trHeight w:val="304" w:hRule="atLeast"/>
        </w:trPr>
        <w:tc>
          <w:tcPr>
            <w:tcW w:w="12747" w:type="dxa"/>
            <w:gridSpan w:val="8"/>
            <w:tcBorders>
              <w:top w:val="single" w:sz="4" w:space="0" w:color="000000"/>
              <w:left w:val="single" w:sz="4" w:space="0" w:color="000000"/>
              <w:bottom w:val="single" w:sz="4" w:space="0" w:color="000000"/>
            </w:tcBorders>
          </w:tcPr>
          <w:p>
            <w:pPr>
              <w:pStyle w:val="Normal"/>
              <w:rPr/>
            </w:pPr>
            <w:r>
              <w:rPr>
                <w:sz w:val="20"/>
              </w:rPr>
              <w:t xml:space="preserve">                                                                                                                                                                                                    </w:t>
            </w:r>
          </w:p>
        </w:tc>
        <w:tc>
          <w:tcPr>
            <w:tcW w:w="1274" w:type="dxa"/>
            <w:tcBorders>
              <w:top w:val="single" w:sz="4" w:space="0" w:color="000000"/>
              <w:left w:val="single" w:sz="4" w:space="0" w:color="000000"/>
              <w:bottom w:val="single" w:sz="4" w:space="0" w:color="000000"/>
            </w:tcBorders>
          </w:tcPr>
          <w:p>
            <w:pPr>
              <w:pStyle w:val="Normal"/>
              <w:jc w:val="center"/>
              <w:rPr>
                <w:sz w:val="20"/>
              </w:rPr>
            </w:pPr>
            <w:r>
              <w:rPr>
                <w:sz w:val="20"/>
              </w:rPr>
            </w:r>
          </w:p>
        </w:tc>
        <w:tc>
          <w:tcPr>
            <w:tcW w:w="986" w:type="dxa"/>
            <w:tcBorders>
              <w:top w:val="single" w:sz="4" w:space="0" w:color="000000"/>
              <w:left w:val="single" w:sz="4" w:space="0" w:color="000000"/>
              <w:bottom w:val="single" w:sz="4" w:space="0" w:color="000000"/>
              <w:right w:val="single" w:sz="4" w:space="0" w:color="000000"/>
            </w:tcBorders>
          </w:tcPr>
          <w:p>
            <w:pPr>
              <w:pStyle w:val="Normal"/>
              <w:jc w:val="center"/>
              <w:rPr>
                <w:sz w:val="20"/>
              </w:rPr>
            </w:pPr>
            <w:r>
              <w:rPr>
                <w:sz w:val="20"/>
              </w:rPr>
            </w:r>
          </w:p>
        </w:tc>
      </w:tr>
    </w:tbl>
    <w:p>
      <w:pPr>
        <w:pStyle w:val="Normal"/>
        <w:jc w:val="both"/>
        <w:rPr/>
      </w:pPr>
      <w:r>
        <w:rPr/>
      </w:r>
    </w:p>
    <w:p>
      <w:pPr>
        <w:pStyle w:val="Normal"/>
        <w:jc w:val="both"/>
        <w:rPr/>
      </w:pPr>
      <w:r>
        <w:rPr>
          <w:color w:val="000000"/>
          <w:sz w:val="20"/>
        </w:rPr>
        <w:t>Стоимость услуг «ИСПОЛНИТЕЛЯ» в соответствии со ст. 146 Налогового кодекса Российской Федерации не облагается НДС.</w:t>
      </w:r>
    </w:p>
    <w:p>
      <w:pPr>
        <w:pStyle w:val="Normal"/>
        <w:jc w:val="both"/>
        <w:rPr/>
      </w:pPr>
      <w:r>
        <w:rPr/>
        <w:t xml:space="preserve">                                                                                                                                                                                                                                             </w:t>
      </w:r>
    </w:p>
    <w:tbl>
      <w:tblPr>
        <w:tblW w:w="14356" w:type="dxa"/>
        <w:jc w:val="left"/>
        <w:tblInd w:w="-109" w:type="dxa"/>
        <w:tblCellMar>
          <w:top w:w="0" w:type="dxa"/>
          <w:left w:w="108" w:type="dxa"/>
          <w:bottom w:w="0" w:type="dxa"/>
          <w:right w:w="108" w:type="dxa"/>
        </w:tblCellMar>
        <w:tblLook w:val="04a0" w:noVBand="1" w:noHBand="0" w:lastColumn="0" w:firstColumn="1" w:lastRow="0" w:firstRow="1"/>
      </w:tblPr>
      <w:tblGrid>
        <w:gridCol w:w="7178"/>
        <w:gridCol w:w="7177"/>
      </w:tblGrid>
      <w:tr>
        <w:trPr/>
        <w:tc>
          <w:tcPr>
            <w:tcW w:w="7178" w:type="dxa"/>
            <w:tcBorders/>
          </w:tcPr>
          <w:p>
            <w:pPr>
              <w:pStyle w:val="Normal"/>
              <w:jc w:val="both"/>
              <w:rPr/>
            </w:pPr>
            <w:r>
              <w:rPr/>
              <w:t>«ИСПОЛНИТЕЛЬ»</w:t>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t xml:space="preserve">___________________________ </w:t>
            </w:r>
          </w:p>
          <w:p>
            <w:pPr>
              <w:pStyle w:val="Normal"/>
              <w:jc w:val="both"/>
              <w:rPr/>
            </w:pPr>
            <w:r>
              <w:rPr/>
            </w:r>
          </w:p>
          <w:p>
            <w:pPr>
              <w:pStyle w:val="Normal"/>
              <w:jc w:val="both"/>
              <w:rPr/>
            </w:pPr>
            <w:r>
              <w:rPr/>
              <w:t xml:space="preserve"> </w:t>
            </w:r>
          </w:p>
          <w:p>
            <w:pPr>
              <w:pStyle w:val="Normal"/>
              <w:jc w:val="both"/>
              <w:rPr/>
            </w:pPr>
            <w:r>
              <w:rPr/>
            </w:r>
          </w:p>
        </w:tc>
        <w:tc>
          <w:tcPr>
            <w:tcW w:w="7177" w:type="dxa"/>
            <w:tcBorders/>
          </w:tcPr>
          <w:p>
            <w:pPr>
              <w:pStyle w:val="Normal"/>
              <w:jc w:val="both"/>
              <w:rPr/>
            </w:pPr>
            <w:r>
              <w:rPr/>
              <w:t xml:space="preserve"> </w:t>
            </w:r>
            <w:r>
              <w:rPr/>
              <w:t>«ЗАКАЗЧИК»</w:t>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r>
          </w:p>
          <w:p>
            <w:pPr>
              <w:pStyle w:val="Normal"/>
              <w:jc w:val="both"/>
              <w:rPr/>
            </w:pPr>
            <w:r>
              <w:rPr/>
              <w:t xml:space="preserve">___________________________  </w:t>
            </w:r>
          </w:p>
          <w:p>
            <w:pPr>
              <w:pStyle w:val="Normal"/>
              <w:jc w:val="both"/>
              <w:rPr>
                <w:sz w:val="20"/>
              </w:rPr>
            </w:pPr>
            <w:r>
              <w:rPr>
                <w:sz w:val="20"/>
              </w:rPr>
            </w:r>
          </w:p>
        </w:tc>
      </w:tr>
    </w:tbl>
    <w:p>
      <w:pPr>
        <w:pStyle w:val="Normal"/>
        <w:spacing w:lineRule="auto" w:line="240" w:before="240" w:after="120"/>
        <w:ind w:left="8647" w:right="0" w:hanging="0"/>
        <w:jc w:val="both"/>
        <w:rPr>
          <w:b w:val="false"/>
          <w:b w:val="false"/>
          <w:sz w:val="20"/>
        </w:rPr>
      </w:pPr>
      <w:r>
        <w:rPr/>
      </w:r>
    </w:p>
    <w:sectPr>
      <w:headerReference w:type="default" r:id="rId4"/>
      <w:type w:val="nextPage"/>
      <w:pgSz w:orient="landscape" w:w="16838" w:h="11906"/>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roman"/>
    <w:pitch w:val="default"/>
  </w:font>
  <w:font w:name="PT Astra Serif">
    <w:charset w:val="01"/>
    <w:family w:val="roman"/>
    <w:pitch w:val="default"/>
  </w:font>
  <w:font w:name="Courier New">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rPr/>
    </w:pPr>
    <w:r>
      <w:rPr/>
      <mc:AlternateContent>
        <mc:Choice Requires="wps">
          <w:drawing>
            <wp:anchor behindDoc="1" distT="0" distB="0" distL="0" distR="0" simplePos="0" locked="0" layoutInCell="1" allowOverlap="1" relativeHeight="5">
              <wp:simplePos x="0" y="0"/>
              <wp:positionH relativeFrom="margin">
                <wp:align>center</wp:align>
              </wp:positionH>
              <wp:positionV relativeFrom="paragraph">
                <wp:posOffset>635</wp:posOffset>
              </wp:positionV>
              <wp:extent cx="59690" cy="142240"/>
              <wp:effectExtent l="0" t="0" r="0" b="0"/>
              <wp:wrapSquare wrapText="bothSides"/>
              <wp:docPr id="1" name="_x005F_x0000_s1025"/>
              <a:graphic xmlns:a="http://schemas.openxmlformats.org/drawingml/2006/main">
                <a:graphicData uri="http://schemas.microsoft.com/office/word/2010/wordprocessingShape">
                  <wps:wsp>
                    <wps:cNvSpPr/>
                    <wps:spPr>
                      <a:xfrm>
                        <a:off x="0" y="0"/>
                        <a:ext cx="59040" cy="141480"/>
                      </a:xfrm>
                      <a:prstGeom prst="rect">
                        <a:avLst/>
                      </a:prstGeom>
                      <a:noFill/>
                      <a:ln>
                        <a:noFill/>
                      </a:ln>
                    </wps:spPr>
                    <wps:style>
                      <a:lnRef idx="0"/>
                      <a:fillRef idx="0"/>
                      <a:effectRef idx="0"/>
                      <a:fontRef idx="minor"/>
                    </wps:style>
                    <wps:txbx>
                      <w:txbxContent>
                        <w:p>
                          <w:pPr>
                            <w:pStyle w:val="Style20"/>
                            <w:rPr/>
                          </w:pPr>
                          <w:r>
                            <w:rPr>
                              <w:rStyle w:val="Style9"/>
                              <w:color w:val="000000"/>
                            </w:rPr>
                            <w:fldChar w:fldCharType="begin"/>
                          </w:r>
                          <w:r>
                            <w:rPr>
                              <w:rStyle w:val="Style9"/>
                              <w:color w:val="000000"/>
                            </w:rPr>
                            <w:instrText> PAGE </w:instrText>
                          </w:r>
                          <w:r>
                            <w:rPr>
                              <w:rStyle w:val="Style9"/>
                              <w:color w:val="000000"/>
                            </w:rPr>
                            <w:fldChar w:fldCharType="separate"/>
                          </w:r>
                          <w:r>
                            <w:rPr>
                              <w:rStyle w:val="Style9"/>
                              <w:color w:val="000000"/>
                            </w:rPr>
                            <w:t>5</w:t>
                          </w:r>
                          <w:r>
                            <w:rPr>
                              <w:rStyle w:val="Style9"/>
                              <w:color w:val="000000"/>
                            </w:rPr>
                            <w:fldChar w:fldCharType="end"/>
                          </w:r>
                        </w:p>
                        <w:p>
                          <w:pPr>
                            <w:pStyle w:val="Normal"/>
                            <w:rPr>
                              <w:color w:val="000000"/>
                            </w:rPr>
                          </w:pPr>
                          <w:r>
                            <w:rPr>
                              <w:color w:val="000000"/>
                            </w:rPr>
                          </w:r>
                        </w:p>
                      </w:txbxContent>
                    </wps:txbx>
                    <wps:bodyPr lIns="9000" rIns="9000" tIns="9000" bIns="9000">
                      <a:noAutofit/>
                    </wps:bodyPr>
                  </wps:wsp>
                </a:graphicData>
              </a:graphic>
            </wp:anchor>
          </w:drawing>
        </mc:Choice>
        <mc:Fallback>
          <w:pict>
            <v:rect id="shape_0" ID="_x005F_x0000_s1025" stroked="f" style="position:absolute;margin-left:238.6pt;margin-top:0.05pt;width:4.6pt;height:11.1pt;mso-position-horizontal:center;mso-position-horizontal-relative:margin">
              <w10:wrap type="square"/>
              <v:fill o:detectmouseclick="t" on="false"/>
              <v:stroke color="#3465a4" joinstyle="round" endcap="flat"/>
              <v:textbox>
                <w:txbxContent>
                  <w:p>
                    <w:pPr>
                      <w:pStyle w:val="Style20"/>
                      <w:rPr/>
                    </w:pPr>
                    <w:r>
                      <w:rPr>
                        <w:rStyle w:val="Style9"/>
                        <w:color w:val="000000"/>
                      </w:rPr>
                      <w:fldChar w:fldCharType="begin"/>
                    </w:r>
                    <w:r>
                      <w:rPr>
                        <w:rStyle w:val="Style9"/>
                        <w:color w:val="000000"/>
                      </w:rPr>
                      <w:instrText> PAGE </w:instrText>
                    </w:r>
                    <w:r>
                      <w:rPr>
                        <w:rStyle w:val="Style9"/>
                        <w:color w:val="000000"/>
                      </w:rPr>
                      <w:fldChar w:fldCharType="separate"/>
                    </w:r>
                    <w:r>
                      <w:rPr>
                        <w:rStyle w:val="Style9"/>
                        <w:color w:val="000000"/>
                      </w:rPr>
                      <w:t>5</w:t>
                    </w:r>
                    <w:r>
                      <w:rPr>
                        <w:rStyle w:val="Style9"/>
                        <w:color w:val="000000"/>
                      </w:rPr>
                      <w:fldChar w:fldCharType="end"/>
                    </w:r>
                  </w:p>
                  <w:p>
                    <w:pPr>
                      <w:pStyle w:val="Normal"/>
                      <w:rPr>
                        <w:color w:val="000000"/>
                      </w:rPr>
                    </w:pPr>
                    <w:r>
                      <w:rPr>
                        <w:color w:val="000000"/>
                      </w:rPr>
                    </w:r>
                  </w:p>
                </w:txbxContent>
              </v:textbox>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4"/>
      <w:numFmt w:val="decimal"/>
      <w:lvlText w:val="%1."/>
      <w:lvlJc w:val="left"/>
      <w:pPr>
        <w:tabs>
          <w:tab w:val="num" w:pos="360"/>
        </w:tabs>
        <w:ind w:left="360" w:hanging="360"/>
      </w:pPr>
      <w:rPr>
        <w:smallCaps w:val="false"/>
        <w:caps w:val="false"/>
        <w:sz w:val="26"/>
        <w:b w:val="false"/>
        <w:szCs w:val="26"/>
      </w:rPr>
    </w:lvl>
    <w:lvl w:ilvl="1">
      <w:start w:val="1"/>
      <w:numFmt w:val="decimal"/>
      <w:lvlText w:val="%1.%2."/>
      <w:lvlJc w:val="left"/>
      <w:pPr>
        <w:tabs>
          <w:tab w:val="num" w:pos="360"/>
        </w:tabs>
        <w:ind w:left="360" w:hanging="360"/>
      </w:pPr>
      <w:rPr>
        <w:smallCaps w:val="false"/>
        <w:caps w:val="false"/>
        <w:sz w:val="26"/>
        <w:b w:val="false"/>
        <w:szCs w:val="26"/>
      </w:rPr>
    </w:lvl>
    <w:lvl w:ilvl="2">
      <w:start w:val="1"/>
      <w:numFmt w:val="decimal"/>
      <w:lvlText w:val="%1.%2.%3."/>
      <w:lvlJc w:val="left"/>
      <w:pPr>
        <w:tabs>
          <w:tab w:val="num" w:pos="1288"/>
        </w:tabs>
        <w:ind w:left="1288" w:hanging="720"/>
      </w:pPr>
      <w:rPr>
        <w:smallCaps w:val="false"/>
        <w:caps w:val="false"/>
        <w:sz w:val="26"/>
        <w:b w:val="false"/>
        <w:szCs w:val="26"/>
      </w:rPr>
    </w:lvl>
    <w:lvl w:ilvl="3">
      <w:start w:val="1"/>
      <w:numFmt w:val="decimal"/>
      <w:lvlText w:val="%1.%2.%3.%4."/>
      <w:lvlJc w:val="left"/>
      <w:pPr>
        <w:tabs>
          <w:tab w:val="num" w:pos="1572"/>
        </w:tabs>
        <w:ind w:left="1572" w:hanging="720"/>
      </w:pPr>
      <w:rPr>
        <w:smallCaps w:val="false"/>
        <w:caps w:val="false"/>
        <w:sz w:val="26"/>
        <w:b w:val="false"/>
        <w:szCs w:val="26"/>
      </w:rPr>
    </w:lvl>
    <w:lvl w:ilvl="4">
      <w:start w:val="1"/>
      <w:numFmt w:val="decimal"/>
      <w:lvlText w:val="%1.%2.%3.%4.%5."/>
      <w:lvlJc w:val="left"/>
      <w:pPr>
        <w:tabs>
          <w:tab w:val="num" w:pos="2216"/>
        </w:tabs>
        <w:ind w:left="2216" w:hanging="1080"/>
      </w:pPr>
      <w:rPr>
        <w:smallCaps w:val="false"/>
        <w:caps w:val="false"/>
        <w:sz w:val="26"/>
        <w:b w:val="false"/>
        <w:szCs w:val="26"/>
      </w:rPr>
    </w:lvl>
    <w:lvl w:ilvl="5">
      <w:start w:val="1"/>
      <w:numFmt w:val="decimal"/>
      <w:lvlText w:val="%1.%2.%3.%4.%5.%6."/>
      <w:lvlJc w:val="left"/>
      <w:pPr>
        <w:tabs>
          <w:tab w:val="num" w:pos="2500"/>
        </w:tabs>
        <w:ind w:left="2500" w:hanging="1080"/>
      </w:pPr>
      <w:rPr>
        <w:smallCaps w:val="false"/>
        <w:caps w:val="false"/>
        <w:sz w:val="26"/>
        <w:b w:val="false"/>
        <w:szCs w:val="26"/>
      </w:rPr>
    </w:lvl>
    <w:lvl w:ilvl="6">
      <w:start w:val="1"/>
      <w:numFmt w:val="decimal"/>
      <w:lvlText w:val="%1.%2.%3.%4.%5.%6.%7."/>
      <w:lvlJc w:val="left"/>
      <w:pPr>
        <w:tabs>
          <w:tab w:val="num" w:pos="2784"/>
        </w:tabs>
        <w:ind w:left="2784" w:hanging="1080"/>
      </w:pPr>
      <w:rPr>
        <w:smallCaps w:val="false"/>
        <w:caps w:val="false"/>
        <w:sz w:val="26"/>
        <w:b w:val="false"/>
        <w:szCs w:val="26"/>
      </w:rPr>
    </w:lvl>
    <w:lvl w:ilvl="7">
      <w:start w:val="1"/>
      <w:numFmt w:val="decimal"/>
      <w:lvlText w:val="%1.%2.%3.%4.%5.%6.%7.%8."/>
      <w:lvlJc w:val="left"/>
      <w:pPr>
        <w:tabs>
          <w:tab w:val="num" w:pos="3428"/>
        </w:tabs>
        <w:ind w:left="3428" w:hanging="1440"/>
      </w:pPr>
      <w:rPr>
        <w:smallCaps w:val="false"/>
        <w:caps w:val="false"/>
        <w:sz w:val="26"/>
        <w:b w:val="false"/>
        <w:szCs w:val="26"/>
      </w:rPr>
    </w:lvl>
    <w:lvl w:ilvl="8">
      <w:start w:val="1"/>
      <w:numFmt w:val="decimal"/>
      <w:lvlText w:val="%1.%2.%3.%4.%5.%6.%7.%8.%9."/>
      <w:lvlJc w:val="left"/>
      <w:pPr>
        <w:tabs>
          <w:tab w:val="num" w:pos="3712"/>
        </w:tabs>
        <w:ind w:left="3712" w:hanging="1440"/>
      </w:pPr>
      <w:rPr>
        <w:smallCaps w:val="false"/>
        <w:caps w:val="false"/>
        <w:sz w:val="26"/>
        <w:b w:val="false"/>
        <w:szCs w:val="26"/>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40"/>
  <w:mirrorMargins/>
  <w:defaultTabStop w:val="708"/>
  <w:autoHyphenation w:val="true"/>
  <w:compa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link w:val="673"/>
    <w:qFormat/>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1">
    <w:name w:val="Heading 1"/>
    <w:basedOn w:val="Normal"/>
    <w:link w:val="14"/>
    <w:uiPriority w:val="9"/>
    <w:qFormat/>
    <w:pPr>
      <w:keepNext w:val="true"/>
      <w:keepLines/>
      <w:spacing w:before="480" w:after="200"/>
      <w:outlineLvl w:val="0"/>
    </w:pPr>
    <w:rPr>
      <w:rFonts w:ascii="Arial" w:hAnsi="Arial" w:eastAsia="Arial" w:cs="Arial"/>
      <w:sz w:val="40"/>
      <w:szCs w:val="40"/>
    </w:rPr>
  </w:style>
  <w:style w:type="paragraph" w:styleId="2">
    <w:name w:val="Heading 2"/>
    <w:basedOn w:val="Normal"/>
    <w:link w:val="16"/>
    <w:uiPriority w:val="9"/>
    <w:unhideWhenUsed/>
    <w:qFormat/>
    <w:pPr>
      <w:keepNext w:val="true"/>
      <w:keepLines/>
      <w:spacing w:before="360" w:after="200"/>
      <w:outlineLvl w:val="1"/>
    </w:pPr>
    <w:rPr>
      <w:rFonts w:ascii="Arial" w:hAnsi="Arial" w:eastAsia="Arial" w:cs="Arial"/>
      <w:sz w:val="34"/>
    </w:rPr>
  </w:style>
  <w:style w:type="paragraph" w:styleId="3">
    <w:name w:val="Heading 3"/>
    <w:basedOn w:val="Normal"/>
    <w:link w:val="18"/>
    <w:uiPriority w:val="9"/>
    <w:unhideWhenUsed/>
    <w:qFormat/>
    <w:pPr>
      <w:keepNext w:val="true"/>
      <w:keepLines/>
      <w:spacing w:before="320" w:after="200"/>
      <w:outlineLvl w:val="2"/>
    </w:pPr>
    <w:rPr>
      <w:rFonts w:ascii="Arial" w:hAnsi="Arial" w:eastAsia="Arial" w:cs="Arial"/>
      <w:sz w:val="30"/>
      <w:szCs w:val="30"/>
    </w:rPr>
  </w:style>
  <w:style w:type="paragraph" w:styleId="4">
    <w:name w:val="Heading 4"/>
    <w:basedOn w:val="Normal"/>
    <w:link w:val="20"/>
    <w:uiPriority w:val="9"/>
    <w:unhideWhenUsed/>
    <w:qFormat/>
    <w:pPr>
      <w:keepNext w:val="true"/>
      <w:keepLines/>
      <w:spacing w:before="320" w:after="200"/>
      <w:outlineLvl w:val="3"/>
    </w:pPr>
    <w:rPr>
      <w:rFonts w:ascii="Arial" w:hAnsi="Arial" w:eastAsia="Arial" w:cs="Arial"/>
      <w:b/>
      <w:bCs/>
      <w:sz w:val="26"/>
      <w:szCs w:val="26"/>
    </w:rPr>
  </w:style>
  <w:style w:type="paragraph" w:styleId="5">
    <w:name w:val="Heading 5"/>
    <w:basedOn w:val="Normal"/>
    <w:link w:val="22"/>
    <w:uiPriority w:val="9"/>
    <w:unhideWhenUsed/>
    <w:qFormat/>
    <w:pPr>
      <w:keepNext w:val="true"/>
      <w:keepLines/>
      <w:spacing w:before="320" w:after="200"/>
      <w:outlineLvl w:val="4"/>
    </w:pPr>
    <w:rPr>
      <w:rFonts w:ascii="Arial" w:hAnsi="Arial" w:eastAsia="Arial" w:cs="Arial"/>
      <w:b/>
      <w:bCs/>
      <w:sz w:val="24"/>
      <w:szCs w:val="24"/>
    </w:rPr>
  </w:style>
  <w:style w:type="paragraph" w:styleId="6">
    <w:name w:val="Heading 6"/>
    <w:basedOn w:val="Normal"/>
    <w:link w:val="24"/>
    <w:uiPriority w:val="9"/>
    <w:unhideWhenUsed/>
    <w:qFormat/>
    <w:pPr>
      <w:keepNext w:val="true"/>
      <w:keepLines/>
      <w:spacing w:before="320" w:after="200"/>
      <w:outlineLvl w:val="5"/>
    </w:pPr>
    <w:rPr>
      <w:rFonts w:ascii="Arial" w:hAnsi="Arial" w:eastAsia="Arial" w:cs="Arial"/>
      <w:b/>
      <w:bCs/>
      <w:sz w:val="22"/>
      <w:szCs w:val="22"/>
    </w:rPr>
  </w:style>
  <w:style w:type="paragraph" w:styleId="7">
    <w:name w:val="Heading 7"/>
    <w:basedOn w:val="Normal"/>
    <w:link w:val="26"/>
    <w:uiPriority w:val="9"/>
    <w:unhideWhenUsed/>
    <w:qFormat/>
    <w:pPr>
      <w:keepNext w:val="true"/>
      <w:keepLines/>
      <w:spacing w:before="320" w:after="200"/>
      <w:outlineLvl w:val="6"/>
    </w:pPr>
    <w:rPr>
      <w:rFonts w:ascii="Arial" w:hAnsi="Arial" w:eastAsia="Arial" w:cs="Arial"/>
      <w:b/>
      <w:bCs/>
      <w:i/>
      <w:iCs/>
      <w:sz w:val="22"/>
      <w:szCs w:val="22"/>
    </w:rPr>
  </w:style>
  <w:style w:type="paragraph" w:styleId="8">
    <w:name w:val="Heading 8"/>
    <w:basedOn w:val="Normal"/>
    <w:link w:val="28"/>
    <w:uiPriority w:val="9"/>
    <w:unhideWhenUsed/>
    <w:qFormat/>
    <w:pPr>
      <w:keepNext w:val="true"/>
      <w:keepLines/>
      <w:spacing w:before="320" w:after="200"/>
      <w:outlineLvl w:val="7"/>
    </w:pPr>
    <w:rPr>
      <w:rFonts w:ascii="Arial" w:hAnsi="Arial" w:eastAsia="Arial" w:cs="Arial"/>
      <w:i/>
      <w:iCs/>
      <w:sz w:val="22"/>
      <w:szCs w:val="22"/>
    </w:rPr>
  </w:style>
  <w:style w:type="paragraph" w:styleId="9">
    <w:name w:val="Heading 9"/>
    <w:basedOn w:val="Normal"/>
    <w:link w:val="30"/>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link w:val="13"/>
    <w:uiPriority w:val="9"/>
    <w:qFormat/>
    <w:rPr>
      <w:rFonts w:ascii="Arial" w:hAnsi="Arial" w:eastAsia="Arial" w:cs="Arial"/>
      <w:sz w:val="40"/>
      <w:szCs w:val="40"/>
    </w:rPr>
  </w:style>
  <w:style w:type="character" w:styleId="Heading2Char">
    <w:name w:val="Heading 2 Char"/>
    <w:link w:val="15"/>
    <w:uiPriority w:val="9"/>
    <w:qFormat/>
    <w:rPr>
      <w:rFonts w:ascii="Arial" w:hAnsi="Arial" w:eastAsia="Arial" w:cs="Arial"/>
      <w:sz w:val="34"/>
    </w:rPr>
  </w:style>
  <w:style w:type="character" w:styleId="Heading3Char">
    <w:name w:val="Heading 3 Char"/>
    <w:link w:val="17"/>
    <w:uiPriority w:val="9"/>
    <w:qFormat/>
    <w:rPr>
      <w:rFonts w:ascii="Arial" w:hAnsi="Arial" w:eastAsia="Arial" w:cs="Arial"/>
      <w:sz w:val="30"/>
      <w:szCs w:val="30"/>
    </w:rPr>
  </w:style>
  <w:style w:type="character" w:styleId="Heading4Char">
    <w:name w:val="Heading 4 Char"/>
    <w:link w:val="19"/>
    <w:uiPriority w:val="9"/>
    <w:qFormat/>
    <w:rPr>
      <w:rFonts w:ascii="Arial" w:hAnsi="Arial" w:eastAsia="Arial" w:cs="Arial"/>
      <w:b/>
      <w:bCs/>
      <w:sz w:val="26"/>
      <w:szCs w:val="26"/>
    </w:rPr>
  </w:style>
  <w:style w:type="character" w:styleId="Heading5Char">
    <w:name w:val="Heading 5 Char"/>
    <w:link w:val="21"/>
    <w:uiPriority w:val="9"/>
    <w:qFormat/>
    <w:rPr>
      <w:rFonts w:ascii="Arial" w:hAnsi="Arial" w:eastAsia="Arial" w:cs="Arial"/>
      <w:b/>
      <w:bCs/>
      <w:sz w:val="24"/>
      <w:szCs w:val="24"/>
    </w:rPr>
  </w:style>
  <w:style w:type="character" w:styleId="Heading6Char">
    <w:name w:val="Heading 6 Char"/>
    <w:link w:val="23"/>
    <w:uiPriority w:val="9"/>
    <w:qFormat/>
    <w:rPr>
      <w:rFonts w:ascii="Arial" w:hAnsi="Arial" w:eastAsia="Arial" w:cs="Arial"/>
      <w:b/>
      <w:bCs/>
      <w:sz w:val="22"/>
      <w:szCs w:val="22"/>
    </w:rPr>
  </w:style>
  <w:style w:type="character" w:styleId="Heading7Char">
    <w:name w:val="Heading 7 Char"/>
    <w:link w:val="25"/>
    <w:uiPriority w:val="9"/>
    <w:qFormat/>
    <w:rPr>
      <w:rFonts w:ascii="Arial" w:hAnsi="Arial" w:eastAsia="Arial" w:cs="Arial"/>
      <w:b/>
      <w:bCs/>
      <w:i/>
      <w:iCs/>
      <w:sz w:val="22"/>
      <w:szCs w:val="22"/>
    </w:rPr>
  </w:style>
  <w:style w:type="character" w:styleId="Heading8Char">
    <w:name w:val="Heading 8 Char"/>
    <w:link w:val="27"/>
    <w:uiPriority w:val="9"/>
    <w:qFormat/>
    <w:rPr>
      <w:rFonts w:ascii="Arial" w:hAnsi="Arial" w:eastAsia="Arial" w:cs="Arial"/>
      <w:i/>
      <w:iCs/>
      <w:sz w:val="22"/>
      <w:szCs w:val="22"/>
    </w:rPr>
  </w:style>
  <w:style w:type="character" w:styleId="Heading9Char">
    <w:name w:val="Heading 9 Char"/>
    <w:link w:val="29"/>
    <w:uiPriority w:val="9"/>
    <w:qFormat/>
    <w:rPr>
      <w:rFonts w:ascii="Arial" w:hAnsi="Arial" w:eastAsia="Arial" w:cs="Arial"/>
      <w:i/>
      <w:iCs/>
      <w:sz w:val="21"/>
      <w:szCs w:val="21"/>
    </w:rPr>
  </w:style>
  <w:style w:type="character" w:styleId="TitleChar">
    <w:name w:val="Title Char"/>
    <w:link w:val="34"/>
    <w:uiPriority w:val="10"/>
    <w:qFormat/>
    <w:rPr>
      <w:sz w:val="48"/>
      <w:szCs w:val="48"/>
    </w:rPr>
  </w:style>
  <w:style w:type="character" w:styleId="SubtitleChar">
    <w:name w:val="Subtitle Char"/>
    <w:link w:val="36"/>
    <w:uiPriority w:val="11"/>
    <w:qFormat/>
    <w:rPr>
      <w:sz w:val="24"/>
      <w:szCs w:val="24"/>
    </w:rPr>
  </w:style>
  <w:style w:type="character" w:styleId="QuoteChar">
    <w:name w:val="Quote Char"/>
    <w:link w:val="38"/>
    <w:uiPriority w:val="29"/>
    <w:qFormat/>
    <w:rPr>
      <w:i/>
    </w:rPr>
  </w:style>
  <w:style w:type="character" w:styleId="IntenseQuoteChar">
    <w:name w:val="Intense Quote Char"/>
    <w:link w:val="40"/>
    <w:uiPriority w:val="30"/>
    <w:qFormat/>
    <w:rPr>
      <w:i/>
    </w:rPr>
  </w:style>
  <w:style w:type="character" w:styleId="HeaderChar">
    <w:name w:val="Header Char"/>
    <w:link w:val="42"/>
    <w:uiPriority w:val="99"/>
    <w:qFormat/>
    <w:rPr/>
  </w:style>
  <w:style w:type="character" w:styleId="FooterChar">
    <w:name w:val="Footer Char"/>
    <w:link w:val="44"/>
    <w:uiPriority w:val="99"/>
    <w:qFormat/>
    <w:rPr/>
  </w:style>
  <w:style w:type="character" w:styleId="CaptionChar">
    <w:name w:val="Caption Char"/>
    <w:link w:val="44"/>
    <w:uiPriority w:val="99"/>
    <w:qFormat/>
    <w:rPr/>
  </w:style>
  <w:style w:type="character" w:styleId="Style5">
    <w:name w:val="Интернет-ссылка"/>
    <w:uiPriority w:val="99"/>
    <w:unhideWhenUsed/>
    <w:rPr>
      <w:color w:val="0000FF" w:themeColor="hyperlink"/>
      <w:u w:val="single"/>
    </w:rPr>
  </w:style>
  <w:style w:type="character" w:styleId="FootnoteTextChar">
    <w:name w:val="Footnote Text Char"/>
    <w:link w:val="175"/>
    <w:uiPriority w:val="99"/>
    <w:qFormat/>
    <w:rPr>
      <w:sz w:val="18"/>
    </w:rPr>
  </w:style>
  <w:style w:type="character" w:styleId="Style6">
    <w:name w:val="Привязка сноски"/>
    <w:rPr>
      <w:vertAlign w:val="superscript"/>
    </w:rPr>
  </w:style>
  <w:style w:type="character" w:styleId="FootnoteCharacters">
    <w:name w:val="Footnote Characters"/>
    <w:uiPriority w:val="99"/>
    <w:unhideWhenUsed/>
    <w:qFormat/>
    <w:rPr>
      <w:vertAlign w:val="superscript"/>
    </w:rPr>
  </w:style>
  <w:style w:type="character" w:styleId="EndnoteTextChar">
    <w:name w:val="Endnote Text Char"/>
    <w:link w:val="178"/>
    <w:uiPriority w:val="99"/>
    <w:qFormat/>
    <w:rPr>
      <w:sz w:val="20"/>
    </w:rPr>
  </w:style>
  <w:style w:type="character" w:styleId="Style7">
    <w:name w:val="Привязка концевой сноски"/>
    <w:rPr>
      <w:vertAlign w:val="superscript"/>
    </w:rPr>
  </w:style>
  <w:style w:type="character" w:styleId="EndnoteCharacters">
    <w:name w:val="Endnote Characters"/>
    <w:uiPriority w:val="99"/>
    <w:semiHidden/>
    <w:unhideWhenUsed/>
    <w:qFormat/>
    <w:rPr>
      <w:vertAlign w:val="superscript"/>
    </w:rPr>
  </w:style>
  <w:style w:type="character" w:styleId="WW8Num1z0">
    <w:name w:val="WW8Num1z0"/>
    <w:qFormat/>
    <w:rPr>
      <w:b w:val="false"/>
      <w:caps w:val="false"/>
      <w:smallCaps w:val="false"/>
      <w:sz w:val="26"/>
      <w:szCs w:val="26"/>
    </w:rPr>
  </w:style>
  <w:style w:type="character" w:styleId="WW8Num2z0">
    <w:name w:val="WW8Num2z0"/>
    <w:qFormat/>
    <w:rPr/>
  </w:style>
  <w:style w:type="character" w:styleId="WW8Num2z1">
    <w:name w:val="WW8Num2z1"/>
    <w:link w:val="673"/>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link w:val="673"/>
    <w:qFormat/>
    <w:rPr/>
  </w:style>
  <w:style w:type="character" w:styleId="WW8Num4z8">
    <w:name w:val="WW8Num4z8"/>
    <w:qFormat/>
    <w:rPr/>
  </w:style>
  <w:style w:type="character" w:styleId="WW8Num5z0">
    <w:name w:val="WW8Num5z0"/>
    <w:qFormat/>
    <w:rPr>
      <w:sz w:val="26"/>
      <w:szCs w:val="26"/>
    </w:rPr>
  </w:style>
  <w:style w:type="character" w:styleId="WW8Num6z0">
    <w:name w:val="WW8Num6z0"/>
    <w:qFormat/>
    <w:rPr/>
  </w:style>
  <w:style w:type="character" w:styleId="WW8Num7z0">
    <w:name w:val="WW8Num7z0"/>
    <w:qFormat/>
    <w:rPr/>
  </w:style>
  <w:style w:type="character" w:styleId="Style8">
    <w:name w:val="Основной шрифт абзаца"/>
    <w:qFormat/>
    <w:rPr/>
  </w:style>
  <w:style w:type="character" w:styleId="Style9">
    <w:name w:val="Номер страницы"/>
    <w:basedOn w:val="Style8"/>
    <w:rPr/>
  </w:style>
  <w:style w:type="character" w:styleId="Style10">
    <w:name w:val="Нижний колонтитул Знак"/>
    <w:basedOn w:val="Style8"/>
    <w:qFormat/>
    <w:rPr/>
  </w:style>
  <w:style w:type="character" w:styleId="Style11">
    <w:name w:val="Основной текст с отступом Знак"/>
    <w:qFormat/>
    <w:rPr>
      <w:sz w:val="24"/>
    </w:rPr>
  </w:style>
  <w:style w:type="character" w:styleId="DefaultParagraphFont" w:default="1">
    <w:name w:val="Default Paragraph Font"/>
    <w:uiPriority w:val="1"/>
    <w:semiHidden/>
    <w:unhideWhenUsed/>
    <w:qFormat/>
    <w:rPr/>
  </w:style>
  <w:style w:type="paragraph" w:styleId="Style12">
    <w:name w:val="Заголовок"/>
    <w:basedOn w:val="Normal"/>
    <w:next w:val="Style13"/>
    <w:qFormat/>
    <w:pPr>
      <w:jc w:val="center"/>
    </w:pPr>
    <w:rPr>
      <w:b/>
      <w:sz w:val="24"/>
    </w:rPr>
  </w:style>
  <w:style w:type="paragraph" w:styleId="Style13">
    <w:name w:val="Body Text"/>
    <w:basedOn w:val="Normal"/>
    <w:pPr>
      <w:jc w:val="both"/>
    </w:pPr>
    <w:rPr>
      <w:sz w:val="24"/>
    </w:rPr>
  </w:style>
  <w:style w:type="paragraph" w:styleId="Style14">
    <w:name w:val="List"/>
    <w:basedOn w:val="Style13"/>
    <w:pPr/>
    <w:rPr>
      <w:rFonts w:ascii="PT Astra Serif" w:hAnsi="PT Astra Serif" w:cs="Noto Sans Devanagari"/>
    </w:rPr>
  </w:style>
  <w:style w:type="paragraph" w:styleId="Style15">
    <w:name w:val="Caption"/>
    <w:basedOn w:val="Normal"/>
    <w:uiPriority w:val="35"/>
    <w:semiHidden/>
    <w:unhideWhenUsed/>
    <w:qFormat/>
    <w:pPr>
      <w:suppressLineNumbers/>
      <w:spacing w:before="120" w:after="120"/>
    </w:pPr>
    <w:rPr>
      <w:rFonts w:ascii="PT Astra Serif" w:hAnsi="PT Astra Serif" w:cs="Noto Sans Devanagari"/>
      <w:i/>
      <w:iCs/>
      <w:sz w:val="24"/>
      <w:szCs w:val="24"/>
    </w:rPr>
  </w:style>
  <w:style w:type="paragraph" w:styleId="Style16">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lineRule="auto" w:line="240" w:before="0" w:after="0"/>
      <w:jc w:val="left"/>
    </w:pPr>
    <w:rPr>
      <w:rFonts w:ascii="Times New Roman" w:hAnsi="Times New Roman" w:eastAsia="Tahoma" w:cs="Noto Sans Devanagari"/>
      <w:color w:val="auto"/>
      <w:kern w:val="0"/>
      <w:sz w:val="20"/>
      <w:szCs w:val="20"/>
      <w:lang w:val="ru-RU" w:eastAsia="zh-CN" w:bidi="hi-IN"/>
    </w:rPr>
  </w:style>
  <w:style w:type="paragraph" w:styleId="Style17">
    <w:name w:val="Title"/>
    <w:basedOn w:val="Normal"/>
    <w:link w:val="35"/>
    <w:uiPriority w:val="10"/>
    <w:qFormat/>
    <w:pPr>
      <w:spacing w:before="300" w:after="200"/>
      <w:contextualSpacing/>
    </w:pPr>
    <w:rPr>
      <w:sz w:val="48"/>
      <w:szCs w:val="48"/>
    </w:rPr>
  </w:style>
  <w:style w:type="paragraph" w:styleId="Style18">
    <w:name w:val="Subtitle"/>
    <w:basedOn w:val="Normal"/>
    <w:link w:val="37"/>
    <w:uiPriority w:val="11"/>
    <w:qFormat/>
    <w:pPr>
      <w:spacing w:before="200" w:after="200"/>
    </w:pPr>
    <w:rPr>
      <w:sz w:val="24"/>
      <w:szCs w:val="24"/>
    </w:rPr>
  </w:style>
  <w:style w:type="paragraph" w:styleId="Quote">
    <w:name w:val="Quote"/>
    <w:basedOn w:val="Normal"/>
    <w:link w:val="39"/>
    <w:uiPriority w:val="29"/>
    <w:qFormat/>
    <w:pPr>
      <w:ind w:left="720" w:right="720" w:hanging="0"/>
    </w:pPr>
    <w:rPr>
      <w:i/>
    </w:rPr>
  </w:style>
  <w:style w:type="paragraph" w:styleId="IntenseQuote">
    <w:name w:val="Intense Quote"/>
    <w:basedOn w:val="Normal"/>
    <w:link w:val="41"/>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left="720" w:right="720" w:hanging="0"/>
    </w:pPr>
    <w:rPr>
      <w:i/>
    </w:rPr>
  </w:style>
  <w:style w:type="paragraph" w:styleId="Style19">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20">
    <w:name w:val="Header"/>
    <w:basedOn w:val="Normal"/>
    <w:link w:val="43"/>
    <w:uiPriority w:val="99"/>
    <w:unhideWhenUsed/>
    <w:pPr>
      <w:tabs>
        <w:tab w:val="clear" w:pos="708"/>
        <w:tab w:val="center" w:pos="4677" w:leader="none"/>
        <w:tab w:val="right" w:pos="9355" w:leader="none"/>
      </w:tabs>
    </w:pPr>
    <w:rPr/>
  </w:style>
  <w:style w:type="paragraph" w:styleId="Style21">
    <w:name w:val="Footer"/>
    <w:basedOn w:val="Normal"/>
    <w:link w:val="47"/>
    <w:uiPriority w:val="99"/>
    <w:unhideWhenUsed/>
    <w:pPr>
      <w:tabs>
        <w:tab w:val="clear" w:pos="708"/>
        <w:tab w:val="center" w:pos="4677" w:leader="none"/>
        <w:tab w:val="right" w:pos="9355" w:leader="none"/>
      </w:tabs>
    </w:pPr>
    <w:rPr/>
  </w:style>
  <w:style w:type="paragraph" w:styleId="Style22">
    <w:name w:val="Footnote Text"/>
    <w:basedOn w:val="Normal"/>
    <w:link w:val="176"/>
    <w:uiPriority w:val="99"/>
    <w:semiHidden/>
    <w:unhideWhenUsed/>
    <w:pPr>
      <w:spacing w:lineRule="auto" w:line="240" w:before="0" w:after="40"/>
    </w:pPr>
    <w:rPr>
      <w:sz w:val="18"/>
    </w:rPr>
  </w:style>
  <w:style w:type="paragraph" w:styleId="Style23">
    <w:name w:val="Endnote Text"/>
    <w:basedOn w:val="Normal"/>
    <w:link w:val="179"/>
    <w:uiPriority w:val="99"/>
    <w:semiHidden/>
    <w:unhideWhenUsed/>
    <w:pPr>
      <w:spacing w:lineRule="auto" w:line="240" w:before="0" w:after="0"/>
    </w:pPr>
    <w:rPr>
      <w:sz w:val="20"/>
    </w:rPr>
  </w:style>
  <w:style w:type="paragraph" w:styleId="11">
    <w:name w:val="TOC 1"/>
    <w:basedOn w:val="Normal"/>
    <w:uiPriority w:val="39"/>
    <w:unhideWhenUsed/>
    <w:pPr>
      <w:spacing w:before="0" w:after="57"/>
      <w:ind w:left="0" w:right="0" w:hanging="0"/>
    </w:pPr>
    <w:rPr/>
  </w:style>
  <w:style w:type="paragraph" w:styleId="21">
    <w:name w:val="TOC 2"/>
    <w:basedOn w:val="Normal"/>
    <w:uiPriority w:val="39"/>
    <w:unhideWhenUsed/>
    <w:pPr>
      <w:spacing w:before="0" w:after="57"/>
      <w:ind w:left="283" w:right="0" w:hanging="0"/>
    </w:pPr>
    <w:rPr/>
  </w:style>
  <w:style w:type="paragraph" w:styleId="31">
    <w:name w:val="TOC 3"/>
    <w:basedOn w:val="Normal"/>
    <w:uiPriority w:val="39"/>
    <w:unhideWhenUsed/>
    <w:pPr>
      <w:spacing w:before="0" w:after="57"/>
      <w:ind w:left="567" w:right="0" w:hanging="0"/>
    </w:pPr>
    <w:rPr/>
  </w:style>
  <w:style w:type="paragraph" w:styleId="41">
    <w:name w:val="TOC 4"/>
    <w:basedOn w:val="Normal"/>
    <w:uiPriority w:val="39"/>
    <w:unhideWhenUsed/>
    <w:pPr>
      <w:spacing w:before="0" w:after="57"/>
      <w:ind w:left="850" w:right="0" w:hanging="0"/>
    </w:pPr>
    <w:rPr/>
  </w:style>
  <w:style w:type="paragraph" w:styleId="51">
    <w:name w:val="TOC 5"/>
    <w:basedOn w:val="Normal"/>
    <w:uiPriority w:val="39"/>
    <w:unhideWhenUsed/>
    <w:pPr>
      <w:spacing w:before="0" w:after="57"/>
      <w:ind w:left="1134" w:right="0" w:hanging="0"/>
    </w:pPr>
    <w:rPr/>
  </w:style>
  <w:style w:type="paragraph" w:styleId="61">
    <w:name w:val="TOC 6"/>
    <w:basedOn w:val="Normal"/>
    <w:uiPriority w:val="39"/>
    <w:unhideWhenUsed/>
    <w:pPr>
      <w:spacing w:before="0" w:after="57"/>
      <w:ind w:left="1417" w:right="0" w:hanging="0"/>
    </w:pPr>
    <w:rPr/>
  </w:style>
  <w:style w:type="paragraph" w:styleId="71">
    <w:name w:val="TOC 7"/>
    <w:basedOn w:val="Normal"/>
    <w:uiPriority w:val="39"/>
    <w:unhideWhenUsed/>
    <w:pPr>
      <w:spacing w:before="0" w:after="57"/>
      <w:ind w:left="1701" w:right="0" w:hanging="0"/>
    </w:pPr>
    <w:rPr/>
  </w:style>
  <w:style w:type="paragraph" w:styleId="81">
    <w:name w:val="TOC 8"/>
    <w:basedOn w:val="Normal"/>
    <w:uiPriority w:val="39"/>
    <w:unhideWhenUsed/>
    <w:pPr>
      <w:spacing w:before="0" w:after="57"/>
      <w:ind w:left="1984" w:right="0" w:hanging="0"/>
    </w:pPr>
    <w:rPr/>
  </w:style>
  <w:style w:type="paragraph" w:styleId="91">
    <w:name w:val="TOC 9"/>
    <w:basedOn w:val="Normal"/>
    <w:uiPriority w:val="39"/>
    <w:unhideWhenUsed/>
    <w:pPr>
      <w:spacing w:before="0" w:after="57"/>
      <w:ind w:left="2268" w:right="0" w:hanging="0"/>
    </w:pPr>
    <w:rPr/>
  </w:style>
  <w:style w:type="paragraph" w:styleId="TOCHeading">
    <w:name w:val="TOC Heading"/>
    <w:uiPriority w:val="39"/>
    <w:unhideWhenUsed/>
    <w:qFormat/>
    <w:pPr>
      <w:widowControl/>
      <w:suppressAutoHyphens w:val="true"/>
      <w:bidi w:val="0"/>
      <w:spacing w:before="0" w:after="0"/>
      <w:jc w:val="left"/>
    </w:pPr>
    <w:rPr>
      <w:rFonts w:ascii="Times New Roman" w:hAnsi="Times New Roman" w:eastAsia="Tahoma" w:cs="Noto Sans Devanagari"/>
      <w:color w:val="auto"/>
      <w:kern w:val="0"/>
      <w:sz w:val="20"/>
      <w:szCs w:val="20"/>
      <w:lang w:val="ru-RU" w:eastAsia="zh-CN" w:bidi="hi-IN"/>
    </w:rPr>
  </w:style>
  <w:style w:type="paragraph" w:styleId="Tableoffigures">
    <w:name w:val="table of figures"/>
    <w:basedOn w:val="Normal"/>
    <w:uiPriority w:val="99"/>
    <w:unhideWhenUsed/>
    <w:qFormat/>
    <w:pPr>
      <w:spacing w:before="0" w:afterAutospacing="0" w:after="0"/>
    </w:pPr>
    <w:rPr/>
  </w:style>
  <w:style w:type="paragraph" w:styleId="Style24">
    <w:name w:val="Body Text Indent"/>
    <w:basedOn w:val="Normal"/>
    <w:pPr>
      <w:spacing w:lineRule="auto" w:line="360"/>
      <w:ind w:left="0" w:right="0" w:firstLine="720"/>
      <w:jc w:val="both"/>
    </w:pPr>
    <w:rPr>
      <w:sz w:val="24"/>
    </w:rPr>
  </w:style>
  <w:style w:type="paragraph" w:styleId="22">
    <w:name w:val="Основной текст 2"/>
    <w:basedOn w:val="Normal"/>
    <w:qFormat/>
    <w:pPr>
      <w:jc w:val="center"/>
    </w:pPr>
    <w:rPr>
      <w:b/>
      <w:sz w:val="24"/>
    </w:rPr>
  </w:style>
  <w:style w:type="paragraph" w:styleId="23">
    <w:name w:val="Основной текст с отступом 2"/>
    <w:basedOn w:val="Normal"/>
    <w:qFormat/>
    <w:pPr>
      <w:ind w:left="0" w:right="0" w:firstLine="720"/>
      <w:jc w:val="center"/>
    </w:pPr>
    <w:rPr>
      <w:sz w:val="24"/>
    </w:rPr>
  </w:style>
  <w:style w:type="paragraph" w:styleId="Style25">
    <w:name w:val="Текст"/>
    <w:basedOn w:val="Normal"/>
    <w:qFormat/>
    <w:pPr/>
    <w:rPr>
      <w:rFonts w:ascii="Courier New" w:hAnsi="Courier New" w:cs="Courier New"/>
      <w:szCs w:val="24"/>
    </w:rPr>
  </w:style>
  <w:style w:type="paragraph" w:styleId="24">
    <w:name w:val="Список 2"/>
    <w:basedOn w:val="Normal"/>
    <w:qFormat/>
    <w:pPr>
      <w:ind w:left="566" w:right="0" w:hanging="283"/>
    </w:pPr>
    <w:rPr/>
  </w:style>
  <w:style w:type="paragraph" w:styleId="Style26">
    <w:name w:val="Содержимое таблицы"/>
    <w:basedOn w:val="Normal"/>
    <w:qFormat/>
    <w:pPr>
      <w:suppressLineNumbers/>
    </w:pPr>
    <w:rPr/>
  </w:style>
  <w:style w:type="paragraph" w:styleId="Style27">
    <w:name w:val="Заголовок таблицы"/>
    <w:basedOn w:val="Style26"/>
    <w:qFormat/>
    <w:pPr>
      <w:suppressLineNumbers/>
      <w:jc w:val="center"/>
    </w:pPr>
    <w:rPr>
      <w:b/>
      <w:bCs/>
    </w:rPr>
  </w:style>
  <w:style w:type="paragraph" w:styleId="Style28">
    <w:name w:val="Содержимое врезки"/>
    <w:basedOn w:val="Normal"/>
    <w:qFormat/>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19</TotalTime>
  <Application>LibreOffice/6.4.7.2$Linux_X86_64 LibreOffice_project/40$Build-2</Application>
  <Pages>6</Pages>
  <Words>1858</Words>
  <Characters>13814</Characters>
  <CharactersWithSpaces>16613</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2021-06-09T08:08:00Z</dcterms:created>
  <dc:creator>Чуракин</dc:creator>
  <dc:description/>
  <dc:language>ru-RU</dc:language>
  <cp:lastModifiedBy/>
  <dcterms:modified xsi:type="dcterms:W3CDTF">2025-06-18T07:59:46Z</dcterms:modified>
  <cp:revision>34</cp:revision>
  <dc:subject/>
  <dc:title>ТРЕХСТОРОННИЙ  ДОГОВОР  № ____</dc:title>
</cp:coreProperties>
</file>